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C31F" w14:textId="77777777" w:rsidR="00FA4415" w:rsidRPr="00186701" w:rsidRDefault="00FA4415" w:rsidP="00FA4415">
      <w:pPr>
        <w:tabs>
          <w:tab w:val="left" w:pos="2410"/>
        </w:tabs>
        <w:jc w:val="both"/>
        <w:rPr>
          <w:color w:val="000000"/>
        </w:rPr>
      </w:pPr>
      <w:r w:rsidRPr="00186701">
        <w:rPr>
          <w:color w:val="000000"/>
        </w:rPr>
        <w:t>EESTI ADVOKATUURI JUHATUS</w:t>
      </w:r>
    </w:p>
    <w:p w14:paraId="7A865B0B" w14:textId="77777777" w:rsidR="00FA4415" w:rsidRPr="00186701" w:rsidRDefault="00FA4415" w:rsidP="00FA4415">
      <w:pPr>
        <w:tabs>
          <w:tab w:val="center" w:pos="4513"/>
          <w:tab w:val="right" w:pos="8666"/>
        </w:tabs>
        <w:jc w:val="both"/>
        <w:rPr>
          <w:color w:val="000000"/>
        </w:rPr>
      </w:pPr>
      <w:r w:rsidRPr="00186701">
        <w:rPr>
          <w:color w:val="000000"/>
        </w:rPr>
        <w:t>ISTUNGI PROTOKOLL</w:t>
      </w:r>
    </w:p>
    <w:p w14:paraId="0F5FAC96" w14:textId="77777777" w:rsidR="00FA4415" w:rsidRPr="00186701" w:rsidRDefault="00FA4415" w:rsidP="00FA4415">
      <w:pPr>
        <w:tabs>
          <w:tab w:val="left" w:pos="5340"/>
        </w:tabs>
        <w:jc w:val="both"/>
        <w:rPr>
          <w:color w:val="000000"/>
        </w:rPr>
      </w:pPr>
      <w:r>
        <w:rPr>
          <w:color w:val="000000"/>
        </w:rPr>
        <w:t>28</w:t>
      </w:r>
      <w:r w:rsidRPr="00186701">
        <w:rPr>
          <w:color w:val="000000"/>
        </w:rPr>
        <w:t xml:space="preserve">. </w:t>
      </w:r>
      <w:r>
        <w:rPr>
          <w:color w:val="000000"/>
        </w:rPr>
        <w:t>mai</w:t>
      </w:r>
      <w:r w:rsidRPr="00186701">
        <w:rPr>
          <w:color w:val="000000"/>
        </w:rPr>
        <w:t xml:space="preserve"> 2013. a nr </w:t>
      </w:r>
      <w:r>
        <w:rPr>
          <w:color w:val="000000"/>
        </w:rPr>
        <w:t>11</w:t>
      </w:r>
      <w:r w:rsidRPr="00186701">
        <w:rPr>
          <w:color w:val="000000"/>
        </w:rPr>
        <w:tab/>
      </w:r>
    </w:p>
    <w:p w14:paraId="646CA612" w14:textId="77777777" w:rsidR="00FA4415" w:rsidRPr="00186701" w:rsidRDefault="00FA4415" w:rsidP="00FA4415">
      <w:pPr>
        <w:tabs>
          <w:tab w:val="center" w:pos="4513"/>
          <w:tab w:val="right" w:pos="8666"/>
        </w:tabs>
        <w:jc w:val="both"/>
        <w:rPr>
          <w:color w:val="000000"/>
        </w:rPr>
      </w:pPr>
      <w:r w:rsidRPr="00186701">
        <w:rPr>
          <w:color w:val="000000"/>
        </w:rPr>
        <w:t>Tallinn</w:t>
      </w:r>
    </w:p>
    <w:p w14:paraId="25CFD46F" w14:textId="02E8D4DA" w:rsidR="005E6D83" w:rsidRDefault="005E6D83"/>
    <w:p w14:paraId="7E60620C" w14:textId="77777777" w:rsidR="00C85E25" w:rsidRDefault="00C85E25" w:rsidP="00FA4415">
      <w:pPr>
        <w:rPr>
          <w:b/>
          <w:bCs/>
          <w:color w:val="000000"/>
        </w:rPr>
      </w:pPr>
    </w:p>
    <w:p w14:paraId="67DB46AB" w14:textId="77777777" w:rsidR="00C85E25" w:rsidRDefault="00C85E25" w:rsidP="00FA4415">
      <w:pPr>
        <w:rPr>
          <w:b/>
          <w:bCs/>
          <w:color w:val="000000"/>
        </w:rPr>
      </w:pPr>
    </w:p>
    <w:p w14:paraId="6833891D" w14:textId="452D2B7D" w:rsidR="00FA4415" w:rsidRPr="00C85E25" w:rsidRDefault="00C85E25" w:rsidP="00FA4415">
      <w:pPr>
        <w:rPr>
          <w:b/>
          <w:bCs/>
          <w:color w:val="000000"/>
        </w:rPr>
      </w:pPr>
      <w:r>
        <w:rPr>
          <w:b/>
          <w:bCs/>
          <w:color w:val="000000"/>
        </w:rPr>
        <w:t>AdvS § 8</w:t>
      </w:r>
      <w:r w:rsidRPr="00C85E25"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t xml:space="preserve"> lg 1 tõlgendamine</w:t>
      </w:r>
    </w:p>
    <w:p w14:paraId="1C200C5B" w14:textId="77777777" w:rsidR="00FA4415" w:rsidRDefault="00FA4415" w:rsidP="00FA4415">
      <w:pPr>
        <w:rPr>
          <w:b/>
          <w:bCs/>
          <w:color w:val="000000"/>
        </w:rPr>
      </w:pPr>
    </w:p>
    <w:p w14:paraId="1486CB57" w14:textId="77777777" w:rsidR="00FA4415" w:rsidRDefault="00FA4415" w:rsidP="00FA4415">
      <w:pPr>
        <w:jc w:val="both"/>
      </w:pPr>
      <w:r w:rsidRPr="008C4F6A">
        <w:t>Advokatuuri juhatus, juhindudes AdvS § 9 punktist 5, otsustas 19. märtsil 2013. a toimunud istungil vastavalt advokatuuriseaduse § 8</w:t>
      </w:r>
      <w:r w:rsidRPr="008C4F6A">
        <w:rPr>
          <w:vertAlign w:val="superscript"/>
        </w:rPr>
        <w:t>1</w:t>
      </w:r>
      <w:r w:rsidRPr="008C4F6A">
        <w:t xml:space="preserve"> lõikele 1 saata hääleõiguslikele advokaatidele elektrooniliselt otsustamiseks uue kodukorra vastuvõtmise ja vana kodukorra kehtetuks tunnistamise küsimuse. </w:t>
      </w:r>
      <w:r>
        <w:t>U</w:t>
      </w:r>
      <w:r w:rsidRPr="008C4F6A">
        <w:t xml:space="preserve">ue kodukorra eelnõu edastati hääleõiguslikele advokaatidele 27. märtsil 2013. a ja hääletamise lõpptähtpäevaks määrati 17. aprill 2013. a kell 24.00. Hääleõiguslikel advokaatidel paluti anda oma hääl ehk väljendada oma tahteavaldus otsuse eelnõu suhtes digitaalallkirjastatud kujul ja edastada see e-posti teel advokatuuri kantseleile e-posti aadressile </w:t>
      </w:r>
      <w:hyperlink r:id="rId4" w:history="1">
        <w:r w:rsidRPr="000146FC">
          <w:rPr>
            <w:rStyle w:val="Hperlink"/>
          </w:rPr>
          <w:t>kodukord@advokatuur.ee</w:t>
        </w:r>
      </w:hyperlink>
      <w:r w:rsidRPr="008C4F6A">
        <w:t xml:space="preserve"> hiljemalt </w:t>
      </w:r>
      <w:r w:rsidRPr="008C4F6A">
        <w:rPr>
          <w:bCs/>
        </w:rPr>
        <w:t>17. aprill</w:t>
      </w:r>
      <w:r>
        <w:rPr>
          <w:bCs/>
        </w:rPr>
        <w:t>il</w:t>
      </w:r>
      <w:r w:rsidRPr="008C4F6A">
        <w:rPr>
          <w:bCs/>
        </w:rPr>
        <w:t xml:space="preserve"> 2013. a kell 24.00</w:t>
      </w:r>
      <w:r w:rsidRPr="008C4F6A">
        <w:t xml:space="preserve">. Antud teavitus edastati hääleõiguslikele advokaatidele advokatuurile teadaolevatele menetlusposti aadressidele, mis on avaldatud advokatuuri kodulehel. </w:t>
      </w:r>
    </w:p>
    <w:p w14:paraId="123378A3" w14:textId="77777777" w:rsidR="00FA4415" w:rsidRPr="008C4F6A" w:rsidRDefault="00FA4415" w:rsidP="00FA4415">
      <w:pPr>
        <w:jc w:val="both"/>
      </w:pPr>
    </w:p>
    <w:p w14:paraId="5BA7C940" w14:textId="77777777" w:rsidR="00FA4415" w:rsidRDefault="00FA4415" w:rsidP="00FA4415">
      <w:pPr>
        <w:jc w:val="both"/>
      </w:pPr>
      <w:r w:rsidRPr="008C4F6A">
        <w:t>Teavitusese osas edastati täiendavad meeldetuletused 04. aprillil 2013. a, 09. aprillil 2013. a ning 16. aprillil 2013. a. Hääleõiguslik</w:t>
      </w:r>
      <w:r>
        <w:t>u</w:t>
      </w:r>
      <w:r w:rsidRPr="008C4F6A">
        <w:t xml:space="preserve">st 566 advokaadist ei osalenud hääletamisel kokku 110 hääleõiguslikku advokaati, </w:t>
      </w:r>
      <w:r>
        <w:t>st nendelt</w:t>
      </w:r>
      <w:r w:rsidRPr="008C4F6A">
        <w:t xml:space="preserve"> ei laekunud advokatuurile tahteavaldust eelnimetatud eelnõu kohta.</w:t>
      </w:r>
    </w:p>
    <w:p w14:paraId="4EE07364" w14:textId="77777777" w:rsidR="00FA4415" w:rsidRPr="008C4F6A" w:rsidRDefault="00FA4415" w:rsidP="00FA4415">
      <w:pPr>
        <w:jc w:val="both"/>
      </w:pPr>
    </w:p>
    <w:p w14:paraId="13B7A6B0" w14:textId="77777777" w:rsidR="00FA4415" w:rsidRDefault="00FA4415" w:rsidP="00FA4415">
      <w:pPr>
        <w:jc w:val="both"/>
      </w:pPr>
      <w:r w:rsidRPr="008C4F6A">
        <w:t>Advokatuuriseaduse § 8</w:t>
      </w:r>
      <w:r w:rsidRPr="008C4F6A">
        <w:rPr>
          <w:vertAlign w:val="superscript"/>
        </w:rPr>
        <w:t>1</w:t>
      </w:r>
      <w:r w:rsidRPr="008C4F6A">
        <w:t xml:space="preserve"> lõikele 1 kohaselt ei või hääleõiguslik advokaat ilma mõjuva põhjuseta keelduda advokatuuriseaduse § 8</w:t>
      </w:r>
      <w:r w:rsidRPr="008C4F6A">
        <w:rPr>
          <w:vertAlign w:val="superscript"/>
        </w:rPr>
        <w:t xml:space="preserve">1 </w:t>
      </w:r>
      <w:r w:rsidRPr="008C4F6A">
        <w:t xml:space="preserve">lõikes 1 sätestatud korras küsimuste otsustamises osalemast, mistõttu palus advokatuur hääleõiguslikel advokaatidel, kes ei avaldanud oma tahet eelnõu osas, esitada oma selgitused. </w:t>
      </w:r>
      <w:r>
        <w:t xml:space="preserve">Selgitusi paluti 06.05.2013, mil edastati advokaatidele e-kirja teel päring, ja neile, kes antud pöördumisele ei vastanud, edastati täiendav järelepärimine 15.05.2013. a, mil see edastati paberkandjal postiaadressile. Vaatamata sellele ei ole advokatuuri juhatuse pöördumistele vastanud kuus advokaati. </w:t>
      </w:r>
    </w:p>
    <w:p w14:paraId="07825BDF" w14:textId="77777777" w:rsidR="00FA4415" w:rsidRDefault="00FA4415" w:rsidP="00FA4415">
      <w:pPr>
        <w:rPr>
          <w:b/>
          <w:bCs/>
          <w:color w:val="000000"/>
        </w:rPr>
      </w:pPr>
    </w:p>
    <w:p w14:paraId="2F0B3AC0" w14:textId="77777777" w:rsidR="00FA4415" w:rsidRPr="00F72D51" w:rsidRDefault="00FA4415" w:rsidP="00FA4415">
      <w:pPr>
        <w:jc w:val="both"/>
      </w:pPr>
      <w:r w:rsidRPr="00F72D51">
        <w:rPr>
          <w:bCs/>
          <w:color w:val="000000"/>
        </w:rPr>
        <w:t>Esmalt pöörab juhatus tähelepanu, et</w:t>
      </w:r>
      <w:r w:rsidRPr="00F72D51">
        <w:rPr>
          <w:b/>
          <w:bCs/>
          <w:color w:val="000000"/>
        </w:rPr>
        <w:t xml:space="preserve"> </w:t>
      </w:r>
      <w:r w:rsidRPr="00F72D51">
        <w:t>advokatuuriseaduse § 8</w:t>
      </w:r>
      <w:r w:rsidRPr="00F72D51">
        <w:rPr>
          <w:vertAlign w:val="superscript"/>
        </w:rPr>
        <w:t>1</w:t>
      </w:r>
      <w:r w:rsidRPr="00F72D51">
        <w:t xml:space="preserve"> lõikele 1 kohaselt ei või hääleõiguslik advokaat ilma mõjuva põhjuseta keelduda advokatuuriseaduse § 8</w:t>
      </w:r>
      <w:r w:rsidRPr="00F72D51">
        <w:rPr>
          <w:vertAlign w:val="superscript"/>
        </w:rPr>
        <w:t xml:space="preserve">1 </w:t>
      </w:r>
      <w:r w:rsidRPr="00F72D51">
        <w:t xml:space="preserve">lõikes 1 sätestatud korras küsimuste otsustamises osalemast ning seega on tegemist individuaalse kohustusega, mida iga hääleõiguslik advokaat peab täitma. </w:t>
      </w:r>
    </w:p>
    <w:p w14:paraId="5CD9AF31" w14:textId="77777777" w:rsidR="00FA4415" w:rsidRDefault="00FA4415" w:rsidP="00FA4415">
      <w:pPr>
        <w:jc w:val="both"/>
        <w:rPr>
          <w:i/>
        </w:rPr>
      </w:pPr>
    </w:p>
    <w:p w14:paraId="2622C3AB" w14:textId="77777777" w:rsidR="00FA4415" w:rsidRPr="00F72D51" w:rsidRDefault="00FA4415" w:rsidP="00FA4415">
      <w:pPr>
        <w:jc w:val="both"/>
        <w:rPr>
          <w:rFonts w:ascii="Times-Roman" w:hAnsi="Times-Roman" w:cs="Times-Roman"/>
        </w:rPr>
      </w:pPr>
      <w:r w:rsidRPr="00F72D51">
        <w:rPr>
          <w:rFonts w:ascii="Times-Roman" w:hAnsi="Times-Roman" w:cs="Times-Roman"/>
        </w:rPr>
        <w:t>Teiseks peab juhatus oluliseks rõhutada, et juhatuse pöördumistesse tuleb suhtuda piisava tähelepanuga</w:t>
      </w:r>
      <w:r>
        <w:rPr>
          <w:rFonts w:ascii="Times-Roman" w:hAnsi="Times-Roman" w:cs="Times-Roman"/>
        </w:rPr>
        <w:t xml:space="preserve"> ning kontaktandmete muutumisel tuleb sellest advokatuuri viivitamatult teavitada</w:t>
      </w:r>
      <w:r w:rsidRPr="00F72D51">
        <w:rPr>
          <w:rFonts w:ascii="Times-Roman" w:hAnsi="Times-Roman" w:cs="Times-Roman"/>
        </w:rPr>
        <w:t xml:space="preserve">. </w:t>
      </w:r>
      <w:r w:rsidRPr="00F72D51">
        <w:t>Eetikakoodeksi § 10 lg 1 kohaselt teostab advokaadibüroos järelevalvet kutse-eetika nõuete täitmise üle advokaadibüroo pidaja, seega peavad juhatuse hinnangul advokaadibüroo pidajad tagama, et advokatuurilt edastatud kirjad jõuaksid advokaatideni. See tähendab, et nii advokaatide menetluspostiaadressid, mi</w:t>
      </w:r>
      <w:r>
        <w:t>s</w:t>
      </w:r>
      <w:r w:rsidRPr="00F72D51">
        <w:t xml:space="preserve"> on advokatuurile teavitatud, oleksid asjakohased ja töötaksid korrektselt </w:t>
      </w:r>
      <w:r>
        <w:t>kui</w:t>
      </w:r>
      <w:r w:rsidRPr="00F72D51">
        <w:t xml:space="preserve"> ka seda, et</w:t>
      </w:r>
      <w:r>
        <w:rPr>
          <w:i/>
        </w:rPr>
        <w:t xml:space="preserve"> </w:t>
      </w:r>
      <w:r w:rsidRPr="00F72D51">
        <w:t xml:space="preserve">büroopidaja peab tagama, et menetlusposti aadressidele edastatud informatsioon jõuaks advokaatideni. </w:t>
      </w:r>
    </w:p>
    <w:p w14:paraId="1EB93AEF" w14:textId="77777777" w:rsidR="00FA4415" w:rsidRPr="00F72D51" w:rsidRDefault="00FA4415" w:rsidP="00FA4415">
      <w:pPr>
        <w:rPr>
          <w:b/>
          <w:bCs/>
          <w:color w:val="000000"/>
        </w:rPr>
      </w:pPr>
    </w:p>
    <w:p w14:paraId="4316A510" w14:textId="77777777" w:rsidR="00FA4415" w:rsidRPr="00F3579C" w:rsidRDefault="00FA4415" w:rsidP="00FA4415">
      <w:pPr>
        <w:jc w:val="both"/>
        <w:outlineLvl w:val="0"/>
        <w:rPr>
          <w:b/>
          <w:bCs/>
          <w:color w:val="000000"/>
        </w:rPr>
      </w:pPr>
    </w:p>
    <w:p w14:paraId="56C7202B" w14:textId="77777777" w:rsidR="00FA4415" w:rsidRPr="00F3579C" w:rsidRDefault="00FA4415" w:rsidP="00FA4415">
      <w:pPr>
        <w:jc w:val="both"/>
        <w:outlineLvl w:val="0"/>
        <w:rPr>
          <w:bCs/>
          <w:color w:val="000000"/>
        </w:rPr>
      </w:pPr>
      <w:r w:rsidRPr="00F3579C">
        <w:rPr>
          <w:bCs/>
          <w:color w:val="000000"/>
        </w:rPr>
        <w:t>Juhatus</w:t>
      </w:r>
    </w:p>
    <w:p w14:paraId="3029E4CB" w14:textId="77777777" w:rsidR="00FA4415" w:rsidRPr="00F3579C" w:rsidRDefault="00FA4415" w:rsidP="00FA4415">
      <w:pPr>
        <w:jc w:val="both"/>
        <w:outlineLvl w:val="0"/>
        <w:rPr>
          <w:bCs/>
          <w:color w:val="000000"/>
        </w:rPr>
      </w:pPr>
    </w:p>
    <w:p w14:paraId="523B0B0C" w14:textId="77777777" w:rsidR="00FA4415" w:rsidRPr="00F3579C" w:rsidRDefault="00FA4415" w:rsidP="00FA4415">
      <w:pPr>
        <w:jc w:val="both"/>
        <w:outlineLvl w:val="0"/>
        <w:rPr>
          <w:b/>
          <w:bCs/>
          <w:color w:val="000000"/>
        </w:rPr>
      </w:pPr>
      <w:r w:rsidRPr="00F3579C">
        <w:rPr>
          <w:b/>
          <w:bCs/>
          <w:color w:val="000000"/>
        </w:rPr>
        <w:lastRenderedPageBreak/>
        <w:t>O T S U S T A S:</w:t>
      </w:r>
    </w:p>
    <w:p w14:paraId="3E23BA41" w14:textId="77777777" w:rsidR="00FA4415" w:rsidRDefault="00FA4415" w:rsidP="00FA4415">
      <w:pPr>
        <w:jc w:val="both"/>
        <w:outlineLvl w:val="0"/>
        <w:rPr>
          <w:b/>
          <w:bCs/>
          <w:color w:val="000000"/>
        </w:rPr>
      </w:pPr>
    </w:p>
    <w:p w14:paraId="7BAD22DB" w14:textId="77777777" w:rsidR="00FA4415" w:rsidRPr="00467609" w:rsidRDefault="00FA4415" w:rsidP="00FA4415">
      <w:pPr>
        <w:jc w:val="both"/>
        <w:rPr>
          <w:b/>
        </w:rPr>
      </w:pPr>
      <w:r w:rsidRPr="00467609">
        <w:rPr>
          <w:b/>
        </w:rPr>
        <w:t>Pöörata veel kord advokaatide tähelepanu AdvS § 8</w:t>
      </w:r>
      <w:r w:rsidRPr="00467609">
        <w:rPr>
          <w:b/>
          <w:vertAlign w:val="superscript"/>
        </w:rPr>
        <w:t>1</w:t>
      </w:r>
      <w:r w:rsidRPr="00467609">
        <w:rPr>
          <w:b/>
        </w:rPr>
        <w:t xml:space="preserve"> l</w:t>
      </w:r>
      <w:r>
        <w:rPr>
          <w:b/>
        </w:rPr>
        <w:t>g</w:t>
      </w:r>
      <w:r w:rsidRPr="00467609">
        <w:rPr>
          <w:b/>
        </w:rPr>
        <w:t xml:space="preserve"> 1  sätestatud kohustusele, samuti eetikakoodeksis sätestatud nõuetele</w:t>
      </w:r>
      <w:r>
        <w:rPr>
          <w:b/>
        </w:rPr>
        <w:t xml:space="preserve"> suhtlemises advokatuuri organitega ja kutse-eetika nõuete järgimiseks.</w:t>
      </w:r>
      <w:r w:rsidRPr="00467609">
        <w:rPr>
          <w:b/>
        </w:rPr>
        <w:t xml:space="preserve"> </w:t>
      </w:r>
    </w:p>
    <w:p w14:paraId="3C1F2432" w14:textId="77777777" w:rsidR="00FA4415" w:rsidRDefault="00FA4415" w:rsidP="00FA4415">
      <w:pPr>
        <w:jc w:val="both"/>
        <w:rPr>
          <w:b/>
        </w:rPr>
      </w:pPr>
    </w:p>
    <w:p w14:paraId="11BC56BA" w14:textId="77777777" w:rsidR="00FA4415" w:rsidRPr="00F72D51" w:rsidRDefault="00FA4415" w:rsidP="00FA4415">
      <w:pPr>
        <w:jc w:val="both"/>
        <w:rPr>
          <w:b/>
        </w:rPr>
      </w:pPr>
      <w:r>
        <w:rPr>
          <w:b/>
        </w:rPr>
        <w:t>Võtta selgitused advokatuuri pöördumistele mittevastanud advokaatidelt.</w:t>
      </w:r>
      <w:r w:rsidRPr="00F72D51">
        <w:rPr>
          <w:b/>
        </w:rPr>
        <w:t xml:space="preserve"> </w:t>
      </w:r>
    </w:p>
    <w:p w14:paraId="393A6FC9" w14:textId="77777777" w:rsidR="00FA4415" w:rsidRDefault="00FA4415"/>
    <w:sectPr w:rsidR="00FA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15"/>
    <w:rsid w:val="005E6D83"/>
    <w:rsid w:val="00C85E25"/>
    <w:rsid w:val="00F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EDBF"/>
  <w15:chartTrackingRefBased/>
  <w15:docId w15:val="{F4490ECA-6BA0-4FA4-9BDE-8C439BAC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A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rsid w:val="00FA4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dukord@advokatuur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Grigorjeva</dc:creator>
  <cp:keywords/>
  <dc:description/>
  <cp:lastModifiedBy>Jane Suur</cp:lastModifiedBy>
  <cp:revision>2</cp:revision>
  <dcterms:created xsi:type="dcterms:W3CDTF">2019-05-02T12:51:00Z</dcterms:created>
  <dcterms:modified xsi:type="dcterms:W3CDTF">2023-10-04T09:10:00Z</dcterms:modified>
</cp:coreProperties>
</file>