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349FA" w14:textId="77777777" w:rsidR="001B3A3E" w:rsidRPr="00CF07E0" w:rsidRDefault="001B3A3E" w:rsidP="001B3A3E">
      <w:pPr>
        <w:rPr>
          <w:b w:val="0"/>
          <w:bCs/>
          <w:color w:val="FF0000"/>
        </w:rPr>
      </w:pPr>
    </w:p>
    <w:p w14:paraId="1399FE93" w14:textId="77777777" w:rsidR="001B3A3E" w:rsidRPr="00CF07E0" w:rsidRDefault="001B3A3E" w:rsidP="001B3A3E">
      <w:pPr>
        <w:rPr>
          <w:color w:val="000000" w:themeColor="text1"/>
        </w:rPr>
      </w:pPr>
      <w:r w:rsidRPr="00CF07E0">
        <w:rPr>
          <w:b w:val="0"/>
          <w:bCs/>
          <w:color w:val="000000" w:themeColor="text1"/>
        </w:rPr>
        <w:t>EESTI ADVOKATUURI JUHATUS</w:t>
      </w:r>
    </w:p>
    <w:p w14:paraId="15C7FF88" w14:textId="77777777" w:rsidR="001B3A3E" w:rsidRPr="00CF07E0" w:rsidRDefault="001B3A3E" w:rsidP="001B3A3E">
      <w:pPr>
        <w:jc w:val="both"/>
        <w:rPr>
          <w:b w:val="0"/>
          <w:bCs/>
          <w:color w:val="000000" w:themeColor="text1"/>
        </w:rPr>
      </w:pPr>
      <w:r w:rsidRPr="00CF07E0">
        <w:rPr>
          <w:b w:val="0"/>
          <w:bCs/>
          <w:color w:val="000000" w:themeColor="text1"/>
        </w:rPr>
        <w:t>ISTUNGI PROTOKOLL</w:t>
      </w:r>
    </w:p>
    <w:p w14:paraId="34A2CBBD" w14:textId="77777777" w:rsidR="001B3A3E" w:rsidRPr="00CF07E0" w:rsidRDefault="001B3A3E" w:rsidP="001B3A3E">
      <w:pPr>
        <w:jc w:val="both"/>
        <w:rPr>
          <w:b w:val="0"/>
          <w:bCs/>
          <w:color w:val="000000" w:themeColor="text1"/>
        </w:rPr>
      </w:pPr>
      <w:r w:rsidRPr="00CF07E0">
        <w:rPr>
          <w:b w:val="0"/>
          <w:bCs/>
          <w:color w:val="000000" w:themeColor="text1"/>
        </w:rPr>
        <w:t>6. veebruar 2018. a nr 3</w:t>
      </w:r>
    </w:p>
    <w:p w14:paraId="646EE880" w14:textId="77777777" w:rsidR="001B3A3E" w:rsidRPr="00CF07E0" w:rsidRDefault="001B3A3E" w:rsidP="001B3A3E">
      <w:pPr>
        <w:jc w:val="both"/>
        <w:rPr>
          <w:b w:val="0"/>
          <w:bCs/>
          <w:color w:val="000000" w:themeColor="text1"/>
        </w:rPr>
      </w:pPr>
      <w:r w:rsidRPr="00CF07E0">
        <w:rPr>
          <w:b w:val="0"/>
          <w:bCs/>
          <w:color w:val="000000" w:themeColor="text1"/>
        </w:rPr>
        <w:t>Tallinn</w:t>
      </w:r>
    </w:p>
    <w:p w14:paraId="0DDA6459" w14:textId="77777777" w:rsidR="00F7160E" w:rsidRDefault="00F7160E"/>
    <w:p w14:paraId="0AE74CFE" w14:textId="77777777" w:rsidR="00186A97" w:rsidRDefault="00186A97" w:rsidP="00186A97">
      <w:pPr>
        <w:jc w:val="both"/>
        <w:rPr>
          <w:bCs/>
          <w:color w:val="000000"/>
        </w:rPr>
      </w:pPr>
    </w:p>
    <w:p w14:paraId="2BDBDE31" w14:textId="77777777" w:rsidR="004259DD" w:rsidRDefault="004259DD" w:rsidP="00186A97">
      <w:pPr>
        <w:jc w:val="both"/>
        <w:rPr>
          <w:bCs/>
          <w:color w:val="000000"/>
        </w:rPr>
      </w:pPr>
    </w:p>
    <w:p w14:paraId="3C762AD1" w14:textId="70508F79" w:rsidR="004259DD" w:rsidRDefault="004259DD" w:rsidP="00186A97">
      <w:pPr>
        <w:jc w:val="both"/>
        <w:rPr>
          <w:bCs/>
          <w:color w:val="000000"/>
        </w:rPr>
      </w:pPr>
      <w:r>
        <w:rPr>
          <w:bCs/>
          <w:color w:val="000000"/>
        </w:rPr>
        <w:t>Advokaadi kontaktisikuna tegutsemisest</w:t>
      </w:r>
    </w:p>
    <w:p w14:paraId="507757BB" w14:textId="77777777" w:rsidR="004259DD" w:rsidRDefault="004259DD" w:rsidP="00186A97">
      <w:pPr>
        <w:jc w:val="both"/>
        <w:rPr>
          <w:bCs/>
          <w:color w:val="000000"/>
        </w:rPr>
      </w:pPr>
    </w:p>
    <w:p w14:paraId="66816B70" w14:textId="77777777" w:rsidR="00186A97" w:rsidRPr="00C41545" w:rsidRDefault="00186A97" w:rsidP="00186A97">
      <w:pPr>
        <w:jc w:val="both"/>
        <w:rPr>
          <w:rFonts w:eastAsia="Calibri"/>
          <w:b w:val="0"/>
          <w:color w:val="000000"/>
        </w:rPr>
      </w:pPr>
      <w:r w:rsidRPr="00C41545">
        <w:rPr>
          <w:rFonts w:eastAsia="Calibri"/>
          <w:b w:val="0"/>
          <w:color w:val="000000"/>
        </w:rPr>
        <w:t>Seoses kontaktisiku regulatsiooni jõustumisega palub advokaat juhatusel selgitada järgmist:</w:t>
      </w:r>
    </w:p>
    <w:p w14:paraId="6A9E5878" w14:textId="64A3A51E" w:rsidR="004259DD" w:rsidRPr="004259DD" w:rsidRDefault="00186A97" w:rsidP="004259DD">
      <w:pPr>
        <w:pStyle w:val="Loendilik"/>
        <w:numPr>
          <w:ilvl w:val="0"/>
          <w:numId w:val="3"/>
        </w:numPr>
        <w:ind w:left="284" w:hanging="284"/>
        <w:jc w:val="both"/>
        <w:rPr>
          <w:rFonts w:eastAsia="Calibri"/>
          <w:b w:val="0"/>
          <w:color w:val="000000"/>
        </w:rPr>
      </w:pPr>
      <w:r w:rsidRPr="004259DD">
        <w:rPr>
          <w:rFonts w:eastAsia="Calibri"/>
          <w:b w:val="0"/>
          <w:color w:val="000000"/>
        </w:rPr>
        <w:t>Kas kontaktisiku teenus on õigusteenuse uus alaliik või tegemist on õigusteenuseks mitteoleva teenusega? Vastusest sellele küsimusele sõltuvad tagajärjed, mis võivad tuleneda nt AdvS § 19 lg-st 3; § 35 lg 1 p-st 1; § 40 lg-st 3; § 43 lg-test 1 ja 3; § 45 lg-st 1; § 55 lg-test 1 ja 2.</w:t>
      </w:r>
    </w:p>
    <w:p w14:paraId="38420191" w14:textId="69E13690" w:rsidR="00186A97" w:rsidRPr="004259DD" w:rsidRDefault="00186A97" w:rsidP="004259DD">
      <w:pPr>
        <w:pStyle w:val="Loendilik"/>
        <w:numPr>
          <w:ilvl w:val="0"/>
          <w:numId w:val="3"/>
        </w:numPr>
        <w:ind w:left="284" w:hanging="284"/>
        <w:jc w:val="both"/>
        <w:rPr>
          <w:rFonts w:eastAsia="Calibri"/>
          <w:b w:val="0"/>
          <w:color w:val="000000"/>
        </w:rPr>
      </w:pPr>
      <w:r w:rsidRPr="004259DD">
        <w:rPr>
          <w:rFonts w:eastAsia="Calibri"/>
          <w:b w:val="0"/>
          <w:color w:val="000000"/>
        </w:rPr>
        <w:t xml:space="preserve">Kas viidatud äriseadustiku norm ei sea ohtu advokaadisaladusi? Nt kui tullakse läbi otsima äriühingut (mitte advokaadibürood) prokuratuuri määruse (mitte kohtumääruse) alusel. </w:t>
      </w:r>
    </w:p>
    <w:p w14:paraId="5742F9FB" w14:textId="1BCAAF5A" w:rsidR="00186A97" w:rsidRPr="004259DD" w:rsidRDefault="00186A97" w:rsidP="004259DD">
      <w:pPr>
        <w:pStyle w:val="Loendilik"/>
        <w:numPr>
          <w:ilvl w:val="0"/>
          <w:numId w:val="3"/>
        </w:numPr>
        <w:ind w:left="284" w:hanging="284"/>
        <w:jc w:val="both"/>
        <w:rPr>
          <w:rFonts w:eastAsia="Calibri"/>
          <w:b w:val="0"/>
          <w:color w:val="000000"/>
        </w:rPr>
      </w:pPr>
      <w:r w:rsidRPr="004259DD">
        <w:rPr>
          <w:rFonts w:eastAsia="Calibri"/>
          <w:b w:val="0"/>
          <w:color w:val="000000"/>
        </w:rPr>
        <w:t xml:space="preserve">Kas advokaadibürooga samades ruumides võib olla ka äriühingu kontor? </w:t>
      </w:r>
    </w:p>
    <w:p w14:paraId="3F7CF803" w14:textId="7048F877" w:rsidR="00186A97" w:rsidRPr="004259DD" w:rsidRDefault="00186A97" w:rsidP="004259DD">
      <w:pPr>
        <w:pStyle w:val="Loendilik"/>
        <w:numPr>
          <w:ilvl w:val="0"/>
          <w:numId w:val="3"/>
        </w:numPr>
        <w:ind w:left="284" w:hanging="284"/>
        <w:jc w:val="both"/>
        <w:rPr>
          <w:rFonts w:eastAsia="Calibri"/>
          <w:b w:val="0"/>
          <w:color w:val="000000"/>
        </w:rPr>
      </w:pPr>
      <w:r w:rsidRPr="004259DD">
        <w:rPr>
          <w:rFonts w:eastAsia="Calibri"/>
          <w:b w:val="0"/>
          <w:color w:val="000000"/>
        </w:rPr>
        <w:t>Kas advokaadibüroos võib hoida äriühingu dokumente, mis ei ole seotud õigusteenusega AdvS § 40 lg 1 mõttes, kuid milliseid on advokaadibüroo saanud kliendi kontaktisikuna.</w:t>
      </w:r>
    </w:p>
    <w:p w14:paraId="38435F29" w14:textId="77777777" w:rsidR="00186A97" w:rsidRPr="00C41545" w:rsidRDefault="00186A97" w:rsidP="00186A97">
      <w:pPr>
        <w:jc w:val="both"/>
        <w:rPr>
          <w:rFonts w:eastAsia="Calibri"/>
          <w:b w:val="0"/>
          <w:color w:val="000000"/>
        </w:rPr>
      </w:pPr>
    </w:p>
    <w:p w14:paraId="0BA67A18" w14:textId="77777777" w:rsidR="00186A97" w:rsidRPr="00C41545" w:rsidRDefault="00186A97" w:rsidP="00186A97">
      <w:pPr>
        <w:jc w:val="both"/>
        <w:rPr>
          <w:rFonts w:eastAsia="Calibri"/>
          <w:b w:val="0"/>
          <w:color w:val="000000"/>
        </w:rPr>
      </w:pPr>
      <w:r w:rsidRPr="00C41545">
        <w:rPr>
          <w:rFonts w:eastAsia="Calibri"/>
          <w:b w:val="0"/>
          <w:color w:val="000000"/>
        </w:rPr>
        <w:t xml:space="preserve">Juhatuse hinnangul on </w:t>
      </w:r>
      <w:r>
        <w:rPr>
          <w:rFonts w:eastAsia="Calibri"/>
          <w:b w:val="0"/>
          <w:color w:val="000000"/>
        </w:rPr>
        <w:t>äriseadustiku §-s 63</w:t>
      </w:r>
      <w:r w:rsidRPr="0018028E">
        <w:rPr>
          <w:rFonts w:eastAsia="Calibri"/>
          <w:b w:val="0"/>
          <w:color w:val="000000"/>
          <w:vertAlign w:val="superscript"/>
        </w:rPr>
        <w:t>1</w:t>
      </w:r>
      <w:r>
        <w:rPr>
          <w:rFonts w:eastAsia="Calibri"/>
          <w:b w:val="0"/>
          <w:color w:val="000000"/>
        </w:rPr>
        <w:t xml:space="preserve"> reguleeritud </w:t>
      </w:r>
      <w:r w:rsidRPr="00C41545">
        <w:rPr>
          <w:rFonts w:eastAsia="Calibri"/>
          <w:b w:val="0"/>
          <w:color w:val="000000"/>
        </w:rPr>
        <w:t xml:space="preserve">kontaktisiku teenus õigusteenus. AdvS § 53 lõike 1 kohaselt  ei või advokaadiühingul olla teist tegevusala peale õigusteenuse osutamise. Sama paragrahvi teine lõige kehtestab, et füüsilisest isikust ettevõtjana tegutsev vandeadvokaat ei või sama ärinime all tegutseda teisel tegevusalal peale õigusteenuse osutamise. AdvS § 49 lõike 1 kohaselt osutab advokaat õigusteenust advokaadibüroo kaudu. Advokaadi poolt õigusteenuse osutamine on advokaadibüroo pidaja ettevõtlus. Seega saab AdvS § 41 lõige 1 sätestada advokaadi pädevuse õigusteenuse osutamisel. </w:t>
      </w:r>
    </w:p>
    <w:p w14:paraId="0CA6A82A" w14:textId="77777777" w:rsidR="00186A97" w:rsidRPr="00C41545" w:rsidRDefault="00186A97" w:rsidP="00186A97">
      <w:pPr>
        <w:jc w:val="both"/>
        <w:rPr>
          <w:rFonts w:eastAsia="Calibri"/>
          <w:b w:val="0"/>
          <w:color w:val="000000"/>
        </w:rPr>
      </w:pPr>
    </w:p>
    <w:p w14:paraId="708E04A2" w14:textId="77777777" w:rsidR="00186A97" w:rsidRDefault="00186A97" w:rsidP="00186A97">
      <w:pPr>
        <w:jc w:val="both"/>
        <w:rPr>
          <w:rFonts w:eastAsia="Calibri"/>
          <w:b w:val="0"/>
        </w:rPr>
      </w:pPr>
      <w:r>
        <w:rPr>
          <w:rFonts w:eastAsia="Calibri"/>
          <w:b w:val="0"/>
        </w:rPr>
        <w:t xml:space="preserve">Tuleb tähele panna, et äriseadustiku §-s </w:t>
      </w:r>
      <w:r w:rsidRPr="00C41545">
        <w:rPr>
          <w:rFonts w:eastAsia="Calibri"/>
          <w:b w:val="0"/>
        </w:rPr>
        <w:t>§-s 63</w:t>
      </w:r>
      <w:r w:rsidRPr="00C41545">
        <w:rPr>
          <w:rFonts w:eastAsia="Calibri"/>
          <w:b w:val="0"/>
          <w:vertAlign w:val="superscript"/>
        </w:rPr>
        <w:t>1</w:t>
      </w:r>
      <w:r>
        <w:rPr>
          <w:rFonts w:eastAsia="Calibri"/>
          <w:b w:val="0"/>
        </w:rPr>
        <w:t xml:space="preserve"> nimetatud kontaktisiku teenus hõlmab üksnes ettevõtja menetlusdokumentide ja ettevõtjale suunatud tahteavalduste vastuvõtja rolli täitmist advokaadi poolt, mitte aga äriühingu juhtimisfunktsioonide teostamist. </w:t>
      </w:r>
    </w:p>
    <w:p w14:paraId="1354AF98" w14:textId="77777777" w:rsidR="00186A97" w:rsidRDefault="00186A97" w:rsidP="00186A97">
      <w:pPr>
        <w:jc w:val="both"/>
        <w:rPr>
          <w:rFonts w:eastAsia="Calibri"/>
          <w:b w:val="0"/>
        </w:rPr>
      </w:pPr>
    </w:p>
    <w:p w14:paraId="32E10DB2" w14:textId="77777777" w:rsidR="00186A97" w:rsidRDefault="00186A97" w:rsidP="00186A97">
      <w:pPr>
        <w:jc w:val="both"/>
        <w:rPr>
          <w:rFonts w:eastAsia="Calibri"/>
          <w:b w:val="0"/>
          <w:color w:val="000000"/>
        </w:rPr>
      </w:pPr>
      <w:r w:rsidRPr="00C41545">
        <w:rPr>
          <w:rFonts w:eastAsia="Calibri"/>
          <w:b w:val="0"/>
        </w:rPr>
        <w:t xml:space="preserve">Jätkuvalt kehtib põhimõte, et advokaadibüroos ei või tegutseda muu ettevõtja ega välismaa äriühingu filiaal peale advokaadiühingu või välismaa advokaadiühingu filiaali. 15.01.2018 jõustunud </w:t>
      </w:r>
      <w:r>
        <w:rPr>
          <w:rFonts w:eastAsia="Calibri"/>
          <w:b w:val="0"/>
        </w:rPr>
        <w:t xml:space="preserve">AdvS </w:t>
      </w:r>
      <w:r w:rsidRPr="00C41545">
        <w:rPr>
          <w:rFonts w:eastAsia="Calibri"/>
          <w:b w:val="0"/>
        </w:rPr>
        <w:t>muudatuste kohaselt võivad advokaadid küll osutada äriseadustiku §-s 63</w:t>
      </w:r>
      <w:r w:rsidRPr="00C41545">
        <w:rPr>
          <w:rFonts w:eastAsia="Calibri"/>
          <w:b w:val="0"/>
          <w:vertAlign w:val="superscript"/>
        </w:rPr>
        <w:t>1</w:t>
      </w:r>
      <w:r w:rsidRPr="00C41545">
        <w:rPr>
          <w:rFonts w:eastAsia="Calibri"/>
          <w:b w:val="0"/>
        </w:rPr>
        <w:t xml:space="preserve"> nimetatud kontaktisiku teenust (AdvS § 41 lõige 1 punkt 5</w:t>
      </w:r>
      <w:r w:rsidRPr="00185C7F">
        <w:rPr>
          <w:rFonts w:eastAsia="Calibri"/>
          <w:b w:val="0"/>
          <w:vertAlign w:val="superscript"/>
        </w:rPr>
        <w:t>1</w:t>
      </w:r>
      <w:r w:rsidRPr="00C41545">
        <w:rPr>
          <w:rFonts w:eastAsia="Calibri"/>
          <w:b w:val="0"/>
        </w:rPr>
        <w:t>), kuid jätkuvalt kehtib ka AdvS § 49 lõige 6</w:t>
      </w:r>
      <w:r>
        <w:rPr>
          <w:rFonts w:eastAsia="Calibri"/>
          <w:b w:val="0"/>
        </w:rPr>
        <w:t xml:space="preserve">. </w:t>
      </w:r>
      <w:r>
        <w:rPr>
          <w:rFonts w:eastAsia="Calibri"/>
          <w:b w:val="0"/>
          <w:color w:val="000000"/>
        </w:rPr>
        <w:t>Seega ei tohi</w:t>
      </w:r>
      <w:r w:rsidRPr="00C41545">
        <w:rPr>
          <w:rFonts w:eastAsia="Calibri"/>
          <w:b w:val="0"/>
          <w:color w:val="000000"/>
        </w:rPr>
        <w:t xml:space="preserve"> advokaadibürooga samades ruumides olla äriühingu kontor</w:t>
      </w:r>
      <w:r>
        <w:rPr>
          <w:rFonts w:eastAsia="Calibri"/>
          <w:b w:val="0"/>
          <w:color w:val="000000"/>
        </w:rPr>
        <w:t>.</w:t>
      </w:r>
    </w:p>
    <w:p w14:paraId="7ED73755" w14:textId="77777777" w:rsidR="00186A97" w:rsidRPr="00C41545" w:rsidRDefault="00186A97" w:rsidP="00186A97">
      <w:pPr>
        <w:jc w:val="both"/>
        <w:rPr>
          <w:rFonts w:eastAsia="Calibri"/>
          <w:b w:val="0"/>
        </w:rPr>
      </w:pPr>
    </w:p>
    <w:p w14:paraId="2172B7A2" w14:textId="77777777" w:rsidR="00186A97" w:rsidRDefault="00186A97" w:rsidP="00186A97">
      <w:pPr>
        <w:jc w:val="both"/>
        <w:rPr>
          <w:rFonts w:eastAsia="Calibri"/>
          <w:b w:val="0"/>
        </w:rPr>
      </w:pPr>
      <w:r>
        <w:rPr>
          <w:rFonts w:eastAsia="Calibri"/>
          <w:b w:val="0"/>
        </w:rPr>
        <w:t>A</w:t>
      </w:r>
      <w:r w:rsidRPr="00C41545">
        <w:rPr>
          <w:rFonts w:eastAsia="Calibri"/>
          <w:b w:val="0"/>
        </w:rPr>
        <w:t>dvokaa</w:t>
      </w:r>
      <w:r>
        <w:rPr>
          <w:rFonts w:eastAsia="Calibri"/>
          <w:b w:val="0"/>
        </w:rPr>
        <w:t>di</w:t>
      </w:r>
      <w:r w:rsidRPr="00C41545">
        <w:rPr>
          <w:rFonts w:eastAsia="Calibri"/>
          <w:b w:val="0"/>
        </w:rPr>
        <w:t xml:space="preserve"> kontaktisikuna</w:t>
      </w:r>
      <w:r>
        <w:rPr>
          <w:rFonts w:eastAsia="Calibri"/>
          <w:b w:val="0"/>
        </w:rPr>
        <w:t xml:space="preserve"> tegutsemisest</w:t>
      </w:r>
      <w:r w:rsidRPr="00C41545">
        <w:rPr>
          <w:rFonts w:eastAsia="Calibri"/>
          <w:b w:val="0"/>
        </w:rPr>
        <w:t xml:space="preserve"> ei saa järeldada, et kontaktisiku määranud äriühing ise tegutseks kontaktisiku asukohas. AdvS § 49 lõike 6 keeld reguleerib mõne teise äriühingu advokaadibüroos tegutsemist, mis seondub ettevõtja „tegevuskoha“ mõistega (</w:t>
      </w:r>
      <w:proofErr w:type="spellStart"/>
      <w:r w:rsidRPr="00C41545">
        <w:rPr>
          <w:rFonts w:eastAsia="Calibri"/>
          <w:b w:val="0"/>
        </w:rPr>
        <w:t>TsÜS</w:t>
      </w:r>
      <w:proofErr w:type="spellEnd"/>
      <w:r w:rsidRPr="00C41545">
        <w:rPr>
          <w:rFonts w:eastAsia="Calibri"/>
          <w:b w:val="0"/>
        </w:rPr>
        <w:t xml:space="preserve"> § 16). Dokumentide ja tahteavalduste vastuvõtmist ei ole võimalik vaadelda äriühingu tegevusena. Samuti ei ole äriühingu tegevusena vaadeldav ka teatud äriühingu dokumentide kättesaadavus advokaadibüroo aadressil. Kontaktisik on küll ühelt poolt dokumentide ja tahteavalduste kättesaamiseks õigustatud isik ja teiselt poolt käsitatakse kontaktisiku aadressi teda määranud juriidilise isiku aadressina, kuid siiski on tegemist õigusliku fiktsiooniga</w:t>
      </w:r>
      <w:r>
        <w:rPr>
          <w:rFonts w:eastAsia="Calibri"/>
          <w:b w:val="0"/>
        </w:rPr>
        <w:t xml:space="preserve">, mille puhul ei saa järeldada, et kontaktisiku määranud äriühing ise tegutseks kontaktisiku tegutsemiskohas. </w:t>
      </w:r>
    </w:p>
    <w:p w14:paraId="48FB9027" w14:textId="77777777" w:rsidR="00186A97" w:rsidRDefault="00186A97" w:rsidP="00186A97">
      <w:pPr>
        <w:jc w:val="both"/>
        <w:rPr>
          <w:rFonts w:eastAsia="Calibri"/>
          <w:b w:val="0"/>
        </w:rPr>
      </w:pPr>
    </w:p>
    <w:p w14:paraId="75D5FAE3" w14:textId="18B3BA05" w:rsidR="00186A97" w:rsidRDefault="00186A97" w:rsidP="00186A97">
      <w:pPr>
        <w:jc w:val="both"/>
        <w:rPr>
          <w:rFonts w:eastAsia="Calibri"/>
          <w:b w:val="0"/>
        </w:rPr>
      </w:pPr>
      <w:r>
        <w:rPr>
          <w:rFonts w:eastAsia="Calibri"/>
          <w:b w:val="0"/>
          <w:color w:val="000000"/>
        </w:rPr>
        <w:lastRenderedPageBreak/>
        <w:t>A</w:t>
      </w:r>
      <w:r w:rsidRPr="00C41545">
        <w:rPr>
          <w:rFonts w:eastAsia="Calibri"/>
          <w:b w:val="0"/>
          <w:color w:val="000000"/>
        </w:rPr>
        <w:t xml:space="preserve">dvokaadibüroos võib hoida </w:t>
      </w:r>
      <w:r>
        <w:rPr>
          <w:rFonts w:eastAsia="Calibri"/>
          <w:b w:val="0"/>
          <w:color w:val="000000"/>
        </w:rPr>
        <w:t xml:space="preserve">üksnes </w:t>
      </w:r>
      <w:r w:rsidRPr="00C41545">
        <w:rPr>
          <w:rFonts w:eastAsia="Calibri"/>
          <w:b w:val="0"/>
          <w:color w:val="000000"/>
        </w:rPr>
        <w:t xml:space="preserve">dokumente, mis </w:t>
      </w:r>
      <w:r>
        <w:rPr>
          <w:rFonts w:eastAsia="Calibri"/>
          <w:b w:val="0"/>
          <w:color w:val="000000"/>
        </w:rPr>
        <w:t>on</w:t>
      </w:r>
      <w:r w:rsidRPr="00C41545">
        <w:rPr>
          <w:rFonts w:eastAsia="Calibri"/>
          <w:b w:val="0"/>
          <w:color w:val="000000"/>
        </w:rPr>
        <w:t xml:space="preserve"> seotud õigusteenuse</w:t>
      </w:r>
      <w:r>
        <w:rPr>
          <w:rFonts w:eastAsia="Calibri"/>
          <w:b w:val="0"/>
          <w:color w:val="000000"/>
        </w:rPr>
        <w:t xml:space="preserve"> osutamisega, sh dokumente, mis on kätte toimetatud advokaadile kui äriühingu kontaktisikule. </w:t>
      </w:r>
      <w:r>
        <w:rPr>
          <w:rFonts w:eastAsia="Calibri"/>
          <w:b w:val="0"/>
        </w:rPr>
        <w:t>K</w:t>
      </w:r>
      <w:r w:rsidRPr="00C41545">
        <w:rPr>
          <w:rFonts w:eastAsia="Calibri"/>
          <w:b w:val="0"/>
        </w:rPr>
        <w:t>liendi materjalide hoidmisel tuleb juhinduda ennekõike AdvS § 44 lõike 1 punktidest 3 ja 4 ning eetikakoodeksi §-st 16. Lisaks reguleerib „Kliendi materjalide hoidmise juhend“ kliendi antud ülesande täitmise käigus advokaadile üle antud mis tahes teabekandjatel olevate kliendi andmete ja andmekandjate sh dokumentide, ülesande täitmisega seotud kirjavahetuse ja kliendi ülesandel advokaadi koostatud õigusdokumentide jms hoidmist ja säilitamist.</w:t>
      </w:r>
    </w:p>
    <w:p w14:paraId="2D06C4B0" w14:textId="77777777" w:rsidR="00186A97" w:rsidRDefault="00186A97" w:rsidP="00186A97">
      <w:pPr>
        <w:jc w:val="both"/>
        <w:rPr>
          <w:rFonts w:eastAsia="Calibri"/>
          <w:b w:val="0"/>
          <w:color w:val="000000"/>
        </w:rPr>
      </w:pPr>
    </w:p>
    <w:p w14:paraId="77B44EE7" w14:textId="77777777" w:rsidR="00186A97" w:rsidRPr="008E7211" w:rsidRDefault="00186A97" w:rsidP="00186A97">
      <w:pPr>
        <w:jc w:val="both"/>
        <w:rPr>
          <w:rFonts w:eastAsia="Calibri"/>
          <w:b w:val="0"/>
          <w:color w:val="000000"/>
        </w:rPr>
      </w:pPr>
      <w:r>
        <w:rPr>
          <w:rFonts w:eastAsia="Calibri"/>
          <w:b w:val="0"/>
          <w:color w:val="000000"/>
        </w:rPr>
        <w:t xml:space="preserve">Täiendavalt on tõusetunud küsimus, kas advokaati, kes osutab kontaktisiku teenust, tuleb käsitleda </w:t>
      </w:r>
      <w:proofErr w:type="spellStart"/>
      <w:r>
        <w:rPr>
          <w:rFonts w:eastAsia="Calibri"/>
          <w:b w:val="0"/>
          <w:color w:val="000000"/>
        </w:rPr>
        <w:t>RahaPTS</w:t>
      </w:r>
      <w:proofErr w:type="spellEnd"/>
      <w:r>
        <w:rPr>
          <w:rFonts w:eastAsia="Calibri"/>
          <w:b w:val="0"/>
          <w:color w:val="000000"/>
        </w:rPr>
        <w:t xml:space="preserve"> § </w:t>
      </w:r>
      <w:r w:rsidRPr="00460BE1">
        <w:rPr>
          <w:rFonts w:eastAsia="Calibri"/>
          <w:b w:val="0"/>
          <w:color w:val="000000"/>
        </w:rPr>
        <w:t>8</w:t>
      </w:r>
      <w:r>
        <w:rPr>
          <w:rFonts w:eastAsia="Calibri"/>
          <w:b w:val="0"/>
          <w:color w:val="000000"/>
        </w:rPr>
        <w:t xml:space="preserve"> mõttes u</w:t>
      </w:r>
      <w:r w:rsidRPr="00CF5FE1">
        <w:rPr>
          <w:rFonts w:eastAsia="Calibri"/>
          <w:b w:val="0"/>
          <w:color w:val="000000"/>
        </w:rPr>
        <w:t>saldusfondide ja äriühingute teenuse pakkuja</w:t>
      </w:r>
      <w:r>
        <w:rPr>
          <w:rFonts w:eastAsia="Calibri"/>
          <w:b w:val="0"/>
          <w:color w:val="000000"/>
        </w:rPr>
        <w:t xml:space="preserve">na, kellele laieneb ka samast seadusest tulenev loakohustus. Juhatus on seisukohal, et kuivõrd advokaadid tulenevalt oma staatusest on usaldusväärse teenuse pakkujad ning </w:t>
      </w:r>
      <w:proofErr w:type="spellStart"/>
      <w:r>
        <w:rPr>
          <w:rFonts w:eastAsia="Calibri"/>
          <w:b w:val="0"/>
          <w:color w:val="000000"/>
        </w:rPr>
        <w:t>RahaPTS</w:t>
      </w:r>
      <w:proofErr w:type="spellEnd"/>
      <w:r>
        <w:rPr>
          <w:rFonts w:eastAsia="Calibri"/>
          <w:b w:val="0"/>
          <w:color w:val="000000"/>
        </w:rPr>
        <w:t xml:space="preserve">-s eraldi nimetatud, ei hõlma </w:t>
      </w:r>
      <w:proofErr w:type="spellStart"/>
      <w:r>
        <w:rPr>
          <w:rFonts w:eastAsia="Calibri"/>
          <w:b w:val="0"/>
          <w:color w:val="000000"/>
        </w:rPr>
        <w:t>RahaPTS</w:t>
      </w:r>
      <w:proofErr w:type="spellEnd"/>
      <w:r>
        <w:rPr>
          <w:rFonts w:eastAsia="Calibri"/>
          <w:b w:val="0"/>
          <w:color w:val="000000"/>
        </w:rPr>
        <w:t xml:space="preserve"> § 8 kontaktisiku teenust pakkuvaid advokaate. Seda tõlgendust kinnitab ka kontaktisiku regulatsiooni kehtestanud seaduseelnõu seletuskiri. </w:t>
      </w:r>
    </w:p>
    <w:p w14:paraId="5B43F23F" w14:textId="77777777" w:rsidR="00186A97" w:rsidRPr="00C41545" w:rsidRDefault="00186A97" w:rsidP="00186A97">
      <w:pPr>
        <w:rPr>
          <w:rFonts w:ascii="Calibri" w:eastAsia="Calibri" w:hAnsi="Calibri"/>
          <w:b w:val="0"/>
          <w:sz w:val="22"/>
          <w:szCs w:val="22"/>
          <w:lang w:eastAsia="en-US"/>
        </w:rPr>
      </w:pPr>
    </w:p>
    <w:p w14:paraId="58B13E51" w14:textId="77777777" w:rsidR="00186A97" w:rsidRDefault="00186A97" w:rsidP="00186A97">
      <w:pPr>
        <w:jc w:val="both"/>
        <w:rPr>
          <w:b w:val="0"/>
          <w:bCs/>
          <w:color w:val="000000"/>
        </w:rPr>
      </w:pPr>
      <w:r>
        <w:rPr>
          <w:b w:val="0"/>
          <w:bCs/>
          <w:color w:val="000000"/>
        </w:rPr>
        <w:t xml:space="preserve">Juhatus peab vajalikuks vaadata seoses kontaktisiku regulatsiooni jõustumisega üle advokaadibüroode pidamise juhendi, kliendi materjalide hoidmise juhendi ning õigusteenuse osutamise korra seoses kliendi huvides juriidilise isiku juhtorganisse kuulumise ja osaluse omandamisega. Vajadusel teha nimetatud kordades ja juhendites täiendused seoses kontaktisiku teenuse osutamisega advokaadi poolt. </w:t>
      </w:r>
    </w:p>
    <w:p w14:paraId="22B084B1" w14:textId="77777777" w:rsidR="00186A97" w:rsidRPr="00D80CFF" w:rsidRDefault="00186A97" w:rsidP="00186A97">
      <w:pPr>
        <w:jc w:val="both"/>
        <w:rPr>
          <w:b w:val="0"/>
          <w:bCs/>
          <w:color w:val="000000"/>
        </w:rPr>
      </w:pPr>
    </w:p>
    <w:p w14:paraId="68DF36EA" w14:textId="77777777" w:rsidR="00186A97" w:rsidRPr="00CE6A21" w:rsidRDefault="00186A97" w:rsidP="00186A97">
      <w:pPr>
        <w:keepNext/>
        <w:jc w:val="both"/>
        <w:outlineLvl w:val="0"/>
        <w:rPr>
          <w:b w:val="0"/>
          <w:bCs/>
          <w:color w:val="000000"/>
          <w:kern w:val="32"/>
          <w:szCs w:val="32"/>
        </w:rPr>
      </w:pPr>
      <w:r w:rsidRPr="00CE6A21">
        <w:rPr>
          <w:b w:val="0"/>
          <w:bCs/>
          <w:color w:val="000000"/>
          <w:kern w:val="32"/>
          <w:szCs w:val="32"/>
        </w:rPr>
        <w:t>Juhatus</w:t>
      </w:r>
    </w:p>
    <w:p w14:paraId="564AAD30" w14:textId="77777777" w:rsidR="00186A97" w:rsidRPr="00CE6A21" w:rsidRDefault="00186A97" w:rsidP="00186A97">
      <w:pPr>
        <w:keepNext/>
        <w:jc w:val="both"/>
        <w:outlineLvl w:val="0"/>
        <w:rPr>
          <w:bCs/>
          <w:color w:val="000000"/>
          <w:kern w:val="32"/>
          <w:szCs w:val="32"/>
        </w:rPr>
      </w:pPr>
    </w:p>
    <w:p w14:paraId="09E2DFC9" w14:textId="77777777" w:rsidR="00186A97" w:rsidRDefault="00186A97" w:rsidP="00186A97">
      <w:pPr>
        <w:keepNext/>
        <w:jc w:val="both"/>
        <w:outlineLvl w:val="0"/>
        <w:rPr>
          <w:bCs/>
          <w:color w:val="000000"/>
          <w:kern w:val="32"/>
          <w:szCs w:val="32"/>
        </w:rPr>
      </w:pPr>
      <w:r w:rsidRPr="00CE6A21">
        <w:rPr>
          <w:bCs/>
          <w:color w:val="000000"/>
          <w:kern w:val="32"/>
          <w:szCs w:val="32"/>
        </w:rPr>
        <w:t>O T S U S T A S:</w:t>
      </w:r>
    </w:p>
    <w:p w14:paraId="5FAFD139" w14:textId="77777777" w:rsidR="00186A97" w:rsidRDefault="00186A97" w:rsidP="00186A97">
      <w:pPr>
        <w:keepNext/>
        <w:jc w:val="both"/>
        <w:outlineLvl w:val="0"/>
        <w:rPr>
          <w:bCs/>
          <w:color w:val="000000"/>
          <w:kern w:val="32"/>
          <w:szCs w:val="32"/>
        </w:rPr>
      </w:pPr>
    </w:p>
    <w:p w14:paraId="76FA622D" w14:textId="2F2AD25C" w:rsidR="00186A97" w:rsidRPr="00CE6A21" w:rsidRDefault="00186A97" w:rsidP="00186A97">
      <w:pPr>
        <w:keepNext/>
        <w:jc w:val="both"/>
        <w:outlineLvl w:val="0"/>
        <w:rPr>
          <w:bCs/>
          <w:color w:val="000000"/>
          <w:kern w:val="32"/>
          <w:szCs w:val="32"/>
        </w:rPr>
      </w:pPr>
      <w:r>
        <w:rPr>
          <w:bCs/>
          <w:color w:val="000000"/>
          <w:kern w:val="32"/>
          <w:szCs w:val="32"/>
        </w:rPr>
        <w:t xml:space="preserve">Teavitada eeltoodud seisukohast </w:t>
      </w:r>
      <w:r w:rsidR="004259DD">
        <w:rPr>
          <w:bCs/>
          <w:color w:val="000000"/>
        </w:rPr>
        <w:t>advokaati</w:t>
      </w:r>
      <w:r>
        <w:rPr>
          <w:bCs/>
          <w:color w:val="000000"/>
        </w:rPr>
        <w:t>.</w:t>
      </w:r>
    </w:p>
    <w:p w14:paraId="7E955CD1" w14:textId="77777777" w:rsidR="00A12812" w:rsidRDefault="00A12812" w:rsidP="00186A97">
      <w:pPr>
        <w:jc w:val="both"/>
      </w:pPr>
    </w:p>
    <w:sectPr w:rsidR="00A128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E660B"/>
    <w:multiLevelType w:val="multilevel"/>
    <w:tmpl w:val="8D6E3D7E"/>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CD67EC6"/>
    <w:multiLevelType w:val="multilevel"/>
    <w:tmpl w:val="891A413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75847A3"/>
    <w:multiLevelType w:val="hybridMultilevel"/>
    <w:tmpl w:val="E1B8EABC"/>
    <w:lvl w:ilvl="0" w:tplc="0409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16cid:durableId="93062798">
    <w:abstractNumId w:val="0"/>
  </w:num>
  <w:num w:numId="2" w16cid:durableId="315761726">
    <w:abstractNumId w:val="1"/>
  </w:num>
  <w:num w:numId="3" w16cid:durableId="888907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812"/>
    <w:rsid w:val="00186A97"/>
    <w:rsid w:val="001B3A3E"/>
    <w:rsid w:val="004259DD"/>
    <w:rsid w:val="00796C44"/>
    <w:rsid w:val="00A12812"/>
    <w:rsid w:val="00F7160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7C06C"/>
  <w15:chartTrackingRefBased/>
  <w15:docId w15:val="{085C4653-C59F-4170-BA2E-F4BFD0F3A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A12812"/>
    <w:pPr>
      <w:spacing w:after="0" w:line="240" w:lineRule="auto"/>
    </w:pPr>
    <w:rPr>
      <w:rFonts w:ascii="Times New Roman" w:eastAsia="Times New Roman" w:hAnsi="Times New Roman" w:cs="Times New Roman"/>
      <w:b/>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425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685</Words>
  <Characters>3978</Characters>
  <Application>Microsoft Office Word</Application>
  <DocSecurity>0</DocSecurity>
  <Lines>33</Lines>
  <Paragraphs>9</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Reelika Paart</dc:creator>
  <cp:keywords/>
  <dc:description/>
  <cp:lastModifiedBy>Jane Suur</cp:lastModifiedBy>
  <cp:revision>3</cp:revision>
  <dcterms:created xsi:type="dcterms:W3CDTF">2019-04-24T13:21:00Z</dcterms:created>
  <dcterms:modified xsi:type="dcterms:W3CDTF">2023-10-02T08:55:00Z</dcterms:modified>
</cp:coreProperties>
</file>