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CD50" w14:textId="77777777" w:rsidR="00B57C5A" w:rsidRPr="003A6380" w:rsidRDefault="00B57C5A" w:rsidP="00B57C5A">
      <w:pPr>
        <w:rPr>
          <w:b w:val="0"/>
          <w:bCs/>
        </w:rPr>
      </w:pPr>
      <w:r w:rsidRPr="003A6380">
        <w:rPr>
          <w:b w:val="0"/>
          <w:bCs/>
        </w:rPr>
        <w:t>EESTI ADVOKATUURI JUHATUS</w:t>
      </w:r>
    </w:p>
    <w:p w14:paraId="2FD658AB" w14:textId="77777777" w:rsidR="00B57C5A" w:rsidRPr="003A6380" w:rsidRDefault="00B57C5A" w:rsidP="00B57C5A">
      <w:pPr>
        <w:rPr>
          <w:b w:val="0"/>
          <w:bCs/>
        </w:rPr>
      </w:pPr>
      <w:r w:rsidRPr="003A6380">
        <w:rPr>
          <w:b w:val="0"/>
          <w:bCs/>
        </w:rPr>
        <w:t>ISTUNGI PROTOKOLL</w:t>
      </w:r>
    </w:p>
    <w:p w14:paraId="4D147375" w14:textId="77777777" w:rsidR="00B57C5A" w:rsidRPr="003A6380" w:rsidRDefault="00B57C5A" w:rsidP="00B57C5A">
      <w:pPr>
        <w:rPr>
          <w:b w:val="0"/>
          <w:bCs/>
        </w:rPr>
      </w:pPr>
      <w:r w:rsidRPr="003A6380">
        <w:rPr>
          <w:b w:val="0"/>
          <w:bCs/>
        </w:rPr>
        <w:t>21. jaanuar 2020. a nr 2</w:t>
      </w:r>
    </w:p>
    <w:p w14:paraId="249E3974" w14:textId="77777777" w:rsidR="00B57C5A" w:rsidRPr="003A6380" w:rsidRDefault="00B57C5A" w:rsidP="00B57C5A">
      <w:pPr>
        <w:rPr>
          <w:b w:val="0"/>
          <w:bCs/>
        </w:rPr>
      </w:pPr>
      <w:r w:rsidRPr="003A6380">
        <w:rPr>
          <w:b w:val="0"/>
          <w:bCs/>
        </w:rPr>
        <w:t>Tallinn</w:t>
      </w:r>
    </w:p>
    <w:p w14:paraId="650EEAD5" w14:textId="77777777" w:rsidR="0003137B" w:rsidRDefault="0003137B"/>
    <w:p w14:paraId="4FB2313A" w14:textId="77777777" w:rsidR="00DA0BAC" w:rsidRDefault="00DA0BAC" w:rsidP="00B57C5A">
      <w:pPr>
        <w:jc w:val="both"/>
        <w:rPr>
          <w:rFonts w:eastAsia="Calibri"/>
          <w:bCs/>
        </w:rPr>
      </w:pPr>
    </w:p>
    <w:p w14:paraId="0853E977" w14:textId="7A52EAB8" w:rsidR="00B57C5A" w:rsidRPr="003A6380" w:rsidRDefault="00E77F80" w:rsidP="00B57C5A">
      <w:pPr>
        <w:jc w:val="both"/>
        <w:rPr>
          <w:rFonts w:eastAsia="Calibri"/>
          <w:b w:val="0"/>
          <w:bCs/>
        </w:rPr>
      </w:pPr>
      <w:r>
        <w:rPr>
          <w:rFonts w:eastAsia="Calibri"/>
          <w:bCs/>
        </w:rPr>
        <w:t>Advokaadi teavitamiskohustusest maksualases teabevahetuses</w:t>
      </w:r>
    </w:p>
    <w:p w14:paraId="163025EB" w14:textId="77777777" w:rsidR="00B57C5A" w:rsidRPr="003A6380" w:rsidRDefault="00B57C5A" w:rsidP="00B57C5A">
      <w:pPr>
        <w:contextualSpacing/>
        <w:jc w:val="both"/>
        <w:rPr>
          <w:rFonts w:eastAsia="Calibri"/>
          <w:b w:val="0"/>
          <w:bCs/>
        </w:rPr>
      </w:pPr>
    </w:p>
    <w:p w14:paraId="502B57E0" w14:textId="77777777" w:rsidR="00B57C5A" w:rsidRPr="003A6380" w:rsidRDefault="00B57C5A" w:rsidP="00B57C5A">
      <w:pPr>
        <w:jc w:val="both"/>
        <w:rPr>
          <w:rFonts w:eastAsia="Calibri"/>
          <w:b w:val="0"/>
          <w:bCs/>
        </w:rPr>
      </w:pPr>
      <w:r w:rsidRPr="003A6380">
        <w:rPr>
          <w:rFonts w:eastAsia="Calibri"/>
          <w:b w:val="0"/>
          <w:bCs/>
        </w:rPr>
        <w:t xml:space="preserve">Vandeadvokaat </w:t>
      </w:r>
      <w:r>
        <w:rPr>
          <w:rFonts w:eastAsia="Calibri"/>
          <w:b w:val="0"/>
          <w:bCs/>
        </w:rPr>
        <w:t>D</w:t>
      </w:r>
      <w:r w:rsidRPr="003A6380">
        <w:rPr>
          <w:rFonts w:eastAsia="Calibri"/>
          <w:b w:val="0"/>
          <w:bCs/>
        </w:rPr>
        <w:t xml:space="preserve"> pöördus juhatuse poole sooviga saada seisukoht, kas advokaat on teabeandjaks maksualase teabevahetuse seaduse (</w:t>
      </w:r>
      <w:bookmarkStart w:id="0" w:name="_Hlk28614515"/>
      <w:r w:rsidRPr="003A6380">
        <w:rPr>
          <w:rFonts w:eastAsia="Calibri"/>
          <w:b w:val="0"/>
          <w:bCs/>
        </w:rPr>
        <w:t>MTVS) § 20</w:t>
      </w:r>
      <w:r w:rsidRPr="003A6380">
        <w:rPr>
          <w:rFonts w:eastAsia="Calibri"/>
          <w:b w:val="0"/>
          <w:bCs/>
          <w:vertAlign w:val="superscript"/>
        </w:rPr>
        <w:t>10</w:t>
      </w:r>
      <w:r w:rsidRPr="003A6380">
        <w:rPr>
          <w:rFonts w:eastAsia="Calibri"/>
          <w:b w:val="0"/>
          <w:bCs/>
        </w:rPr>
        <w:t xml:space="preserve"> </w:t>
      </w:r>
      <w:bookmarkEnd w:id="0"/>
      <w:r w:rsidRPr="003A6380">
        <w:rPr>
          <w:rFonts w:eastAsia="Calibri"/>
          <w:b w:val="0"/>
          <w:bCs/>
        </w:rPr>
        <w:t>mõttes. Advokaat viitab seaduse redaktsioonile, mis jõustus 01.01.2020.</w:t>
      </w:r>
      <w:r w:rsidRPr="003A6380">
        <w:rPr>
          <w:rFonts w:ascii="Arial" w:eastAsia="Calibri" w:hAnsi="Arial" w:cs="Arial"/>
          <w:b w:val="0"/>
          <w:bCs/>
          <w:color w:val="202020"/>
          <w:sz w:val="21"/>
          <w:szCs w:val="21"/>
          <w:shd w:val="clear" w:color="auto" w:fill="FFFFFF"/>
        </w:rPr>
        <w:t xml:space="preserve"> </w:t>
      </w:r>
      <w:bookmarkStart w:id="1" w:name="_Hlk28614991"/>
      <w:r w:rsidRPr="003A6380">
        <w:rPr>
          <w:rFonts w:eastAsia="Calibri"/>
          <w:b w:val="0"/>
          <w:bCs/>
        </w:rPr>
        <w:t>MTVS § 20</w:t>
      </w:r>
      <w:r w:rsidRPr="003A6380">
        <w:rPr>
          <w:rFonts w:eastAsia="Calibri"/>
          <w:b w:val="0"/>
          <w:bCs/>
          <w:vertAlign w:val="superscript"/>
        </w:rPr>
        <w:t>10</w:t>
      </w:r>
      <w:r w:rsidRPr="003A6380">
        <w:rPr>
          <w:rFonts w:eastAsia="Calibri"/>
          <w:b w:val="0"/>
          <w:bCs/>
        </w:rPr>
        <w:t xml:space="preserve"> lg 1 </w:t>
      </w:r>
      <w:bookmarkEnd w:id="1"/>
      <w:r w:rsidRPr="003A6380">
        <w:rPr>
          <w:rFonts w:eastAsia="Calibri"/>
          <w:b w:val="0"/>
          <w:bCs/>
        </w:rPr>
        <w:t>sätestab, et teabeandja on aruandekohustusega skeemi väljatöötamise, turustamise, kättesaadavaks tegemise või selle rakendamise korraldamise või juhtimise teenust osutanud või selle teenuse osutamisel abi või nõu andnud isik. Sama paragrahvi lg 2 kohaselt teabeandjaks ei ole isik, kelle puhul saab eeldada, et ta ei teadnud ega pidanud teadma, et osutatud teenus või teenuse osutamisel antud abi või nõu oli seotud aruandekohustusega skeemiga. 3. lõikes on loetletud tingimused, millistele peab vastama aruandekohustuslik teabeandja.</w:t>
      </w:r>
      <w:r w:rsidRPr="003A6380">
        <w:rPr>
          <w:rFonts w:ascii="Arial" w:eastAsia="Calibri" w:hAnsi="Arial" w:cs="Arial"/>
          <w:b w:val="0"/>
          <w:bCs/>
          <w:color w:val="202020"/>
          <w:sz w:val="21"/>
          <w:szCs w:val="21"/>
          <w:bdr w:val="none" w:sz="0" w:space="0" w:color="auto" w:frame="1"/>
          <w:shd w:val="clear" w:color="auto" w:fill="FFFFFF"/>
        </w:rPr>
        <w:t xml:space="preserve"> </w:t>
      </w:r>
      <w:r w:rsidRPr="003A6380">
        <w:rPr>
          <w:rFonts w:eastAsia="Calibri"/>
          <w:b w:val="0"/>
          <w:bCs/>
        </w:rPr>
        <w:t>MTVS § 20</w:t>
      </w:r>
      <w:r w:rsidRPr="003A6380">
        <w:rPr>
          <w:rFonts w:eastAsia="Calibri"/>
          <w:b w:val="0"/>
          <w:bCs/>
          <w:vertAlign w:val="superscript"/>
        </w:rPr>
        <w:t>10</w:t>
      </w:r>
      <w:r w:rsidRPr="003A6380">
        <w:rPr>
          <w:rFonts w:eastAsia="Calibri"/>
          <w:b w:val="0"/>
          <w:bCs/>
        </w:rPr>
        <w:t xml:space="preserve"> lg 3 p 4 sätestab et a</w:t>
      </w:r>
      <w:r w:rsidRPr="003A6380">
        <w:rPr>
          <w:rFonts w:eastAsia="Calibri"/>
          <w:b w:val="0"/>
          <w:bCs/>
          <w:color w:val="202020"/>
          <w:shd w:val="clear" w:color="auto" w:fill="FFFFFF"/>
        </w:rPr>
        <w:t xml:space="preserve">ruandekohustuslik on teabeandja, kes </w:t>
      </w:r>
      <w:r w:rsidRPr="003A6380">
        <w:rPr>
          <w:rFonts w:eastAsia="Calibri"/>
          <w:b w:val="0"/>
          <w:bCs/>
        </w:rPr>
        <w:t>on sellise Eesti kutseühenduse liige, mis ühendab õigus- või maksunõustamisteenust osutavaid isikuid.</w:t>
      </w:r>
    </w:p>
    <w:p w14:paraId="29D70C5C" w14:textId="77777777" w:rsidR="00B57C5A" w:rsidRPr="003A6380" w:rsidRDefault="00B57C5A" w:rsidP="00B57C5A">
      <w:pPr>
        <w:jc w:val="both"/>
        <w:rPr>
          <w:rFonts w:eastAsia="Calibri"/>
          <w:b w:val="0"/>
          <w:bCs/>
        </w:rPr>
      </w:pPr>
    </w:p>
    <w:p w14:paraId="3A01F30C" w14:textId="77777777" w:rsidR="00B57C5A" w:rsidRDefault="00B57C5A" w:rsidP="00B57C5A">
      <w:pPr>
        <w:jc w:val="both"/>
        <w:rPr>
          <w:b w:val="0"/>
          <w:bCs/>
          <w:lang w:eastAsia="ar-SA"/>
        </w:rPr>
      </w:pPr>
      <w:r w:rsidRPr="003A6380">
        <w:rPr>
          <w:b w:val="0"/>
          <w:bCs/>
          <w:lang w:eastAsia="ar-SA"/>
        </w:rPr>
        <w:t>MTVS § 20</w:t>
      </w:r>
      <w:r w:rsidRPr="003A6380">
        <w:rPr>
          <w:b w:val="0"/>
          <w:bCs/>
          <w:vertAlign w:val="superscript"/>
          <w:lang w:eastAsia="ar-SA"/>
        </w:rPr>
        <w:t xml:space="preserve">9 </w:t>
      </w:r>
      <w:r w:rsidRPr="003A6380">
        <w:rPr>
          <w:b w:val="0"/>
          <w:bCs/>
          <w:lang w:eastAsia="ar-SA"/>
        </w:rPr>
        <w:t>sätestab, et aruandekohustusega skeem on teabevahetusega hõlmatud skeem, mis puudutab ka teist liikmesriiki või kolmandat riiki ja mille puhul esineb vähemalt üks käesoleva seaduse § 20</w:t>
      </w:r>
      <w:r w:rsidRPr="003A6380">
        <w:rPr>
          <w:b w:val="0"/>
          <w:bCs/>
          <w:vertAlign w:val="superscript"/>
          <w:lang w:eastAsia="ar-SA"/>
        </w:rPr>
        <w:t>8</w:t>
      </w:r>
      <w:r w:rsidRPr="003A6380">
        <w:rPr>
          <w:b w:val="0"/>
          <w:bCs/>
          <w:lang w:eastAsia="ar-SA"/>
        </w:rPr>
        <w:t> lõike 5 alusel antavas valdkonna eest vastutava ministri määruses nimetatud kriteerium. Se</w:t>
      </w:r>
      <w:r>
        <w:rPr>
          <w:b w:val="0"/>
          <w:bCs/>
          <w:lang w:eastAsia="ar-SA"/>
        </w:rPr>
        <w:t xml:space="preserve">ega </w:t>
      </w:r>
      <w:r w:rsidRPr="003A6380">
        <w:rPr>
          <w:b w:val="0"/>
          <w:bCs/>
          <w:lang w:eastAsia="ar-SA"/>
        </w:rPr>
        <w:t xml:space="preserve">tuleb </w:t>
      </w:r>
      <w:r>
        <w:rPr>
          <w:b w:val="0"/>
          <w:bCs/>
          <w:lang w:eastAsia="ar-SA"/>
        </w:rPr>
        <w:t xml:space="preserve">teavet </w:t>
      </w:r>
      <w:r w:rsidRPr="003A6380">
        <w:rPr>
          <w:b w:val="0"/>
          <w:bCs/>
          <w:lang w:eastAsia="ar-SA"/>
        </w:rPr>
        <w:t>esitada vaid skeemide kohta, mille kirjelduses kajastub piiriülene aspekt ning mis samal ajal vastab vähemalt ühele ministri määrusega kehtestatud skeemi kirjeldusele. Ministri määrusega kehtestatakse ammendav loetelu selliste skeemide kirjeldustest, mille kohta piiriülese tunnuse kaasnemisel on kohustus teave esitada.</w:t>
      </w:r>
    </w:p>
    <w:p w14:paraId="77D5F417" w14:textId="77777777" w:rsidR="00B57C5A" w:rsidRDefault="00B57C5A" w:rsidP="00B57C5A">
      <w:pPr>
        <w:jc w:val="both"/>
        <w:rPr>
          <w:b w:val="0"/>
          <w:bCs/>
          <w:lang w:eastAsia="ar-SA"/>
        </w:rPr>
      </w:pPr>
    </w:p>
    <w:p w14:paraId="6602034D" w14:textId="77777777" w:rsidR="00B57C5A" w:rsidRPr="003A6380" w:rsidRDefault="00B57C5A" w:rsidP="00B57C5A">
      <w:pPr>
        <w:suppressAutoHyphens/>
        <w:jc w:val="both"/>
        <w:rPr>
          <w:b w:val="0"/>
          <w:bCs/>
          <w:lang w:eastAsia="ar-SA"/>
        </w:rPr>
      </w:pPr>
      <w:r w:rsidRPr="003A6380">
        <w:rPr>
          <w:b w:val="0"/>
          <w:bCs/>
          <w:lang w:eastAsia="ar-SA"/>
        </w:rPr>
        <w:t xml:space="preserve">MTVS </w:t>
      </w:r>
      <w:r>
        <w:rPr>
          <w:b w:val="0"/>
          <w:bCs/>
          <w:lang w:eastAsia="ar-SA"/>
        </w:rPr>
        <w:t xml:space="preserve">eelnõu </w:t>
      </w:r>
      <w:r w:rsidRPr="003A6380">
        <w:rPr>
          <w:b w:val="0"/>
          <w:bCs/>
          <w:lang w:eastAsia="ar-SA"/>
        </w:rPr>
        <w:t>seletuskirja kohaselt võib aruandekohustusega skeemide alases teabevahetuses teabeandjaks olla iga isik, kes on osutanud maksukohustuslasele skeemiga seotud teenuseid. Skeemiga seotud teenustena on nimetatud skeemi väljatöötamist, turustamist, kättesaadavaks tegemist, skeemi rakendamise korraldamist ja selle juhtimist, samuti nende teenuste osutamisel abi ja nõu andmist. Skeemi rakendamise korraldamine ja selle juhtimine võib hõlmata igasugust tehnilist abi skeemi ellu rakendamiseks.</w:t>
      </w:r>
      <w:r>
        <w:rPr>
          <w:b w:val="0"/>
          <w:bCs/>
          <w:lang w:eastAsia="ar-SA"/>
        </w:rPr>
        <w:t xml:space="preserve"> </w:t>
      </w:r>
      <w:r w:rsidRPr="003A6380">
        <w:rPr>
          <w:b w:val="0"/>
          <w:bCs/>
          <w:lang w:eastAsia="ar-SA"/>
        </w:rPr>
        <w:t>Direktiivi läbirääkimistel peeti oluliseks, et kohustatud isikute ringi moodustaksid eelkõige isikud, kes oma ettevõtluse raames pakuvad maksu(õiguse)alast nõu. Nendeks on eelkõige maksukonsultatsiooni teenust osutavad isikud, sh advokaadid</w:t>
      </w:r>
      <w:r>
        <w:rPr>
          <w:b w:val="0"/>
          <w:bCs/>
          <w:lang w:eastAsia="ar-SA"/>
        </w:rPr>
        <w:t>,</w:t>
      </w:r>
      <w:r w:rsidRPr="003A6380">
        <w:rPr>
          <w:b w:val="0"/>
          <w:bCs/>
          <w:lang w:eastAsia="ar-SA"/>
        </w:rPr>
        <w:t xml:space="preserve"> aga ka raamatupidamise või ühingute asutamise teenust osutavad isikud ja finantsinvesteeringute alast nõu andvad isikud. </w:t>
      </w:r>
    </w:p>
    <w:p w14:paraId="76457F01" w14:textId="77777777" w:rsidR="00B57C5A" w:rsidRPr="003A6380" w:rsidRDefault="00B57C5A" w:rsidP="00B57C5A">
      <w:pPr>
        <w:suppressAutoHyphens/>
        <w:jc w:val="both"/>
        <w:rPr>
          <w:b w:val="0"/>
          <w:bCs/>
          <w:lang w:eastAsia="ar-SA"/>
        </w:rPr>
      </w:pPr>
    </w:p>
    <w:p w14:paraId="632647FE" w14:textId="77777777" w:rsidR="00B57C5A" w:rsidRPr="003A6380" w:rsidRDefault="00B57C5A" w:rsidP="00B57C5A">
      <w:pPr>
        <w:suppressAutoHyphens/>
        <w:jc w:val="both"/>
        <w:rPr>
          <w:b w:val="0"/>
          <w:bCs/>
          <w:lang w:eastAsia="ar-SA"/>
        </w:rPr>
      </w:pPr>
      <w:r w:rsidRPr="003A6380">
        <w:rPr>
          <w:b w:val="0"/>
          <w:bCs/>
          <w:lang w:eastAsia="ar-SA"/>
        </w:rPr>
        <w:t>Eelnevast nähtuvalt on advokaat teabeandjaks MTVS § 20</w:t>
      </w:r>
      <w:r w:rsidRPr="003A6380">
        <w:rPr>
          <w:b w:val="0"/>
          <w:bCs/>
          <w:vertAlign w:val="superscript"/>
          <w:lang w:eastAsia="ar-SA"/>
        </w:rPr>
        <w:t>10</w:t>
      </w:r>
      <w:r w:rsidRPr="003A6380">
        <w:rPr>
          <w:b w:val="0"/>
          <w:bCs/>
          <w:lang w:eastAsia="ar-SA"/>
        </w:rPr>
        <w:t xml:space="preserve"> tähenduses. MTVS § 20</w:t>
      </w:r>
      <w:r w:rsidRPr="003A6380">
        <w:rPr>
          <w:b w:val="0"/>
          <w:bCs/>
          <w:vertAlign w:val="superscript"/>
          <w:lang w:eastAsia="ar-SA"/>
        </w:rPr>
        <w:t>14</w:t>
      </w:r>
      <w:bookmarkStart w:id="2" w:name="para20b14"/>
      <w:r w:rsidRPr="003A6380">
        <w:rPr>
          <w:b w:val="0"/>
          <w:bCs/>
          <w:lang w:eastAsia="ar-SA"/>
        </w:rPr>
        <w:t xml:space="preserve"> näeb siiski ette, et </w:t>
      </w:r>
      <w:bookmarkEnd w:id="2"/>
      <w:r w:rsidRPr="003A6380">
        <w:rPr>
          <w:b w:val="0"/>
          <w:bCs/>
          <w:lang w:eastAsia="ar-SA"/>
        </w:rPr>
        <w:t xml:space="preserve">kui kohustuse täitmine tähendaks seadusest tuleneva kutsesaladuse hoidmise kohustuse rikkumist, on teabeandjal õigus jätta kohustused täitmata. Advokaatide puhul on kutsesaladusega hõlmatud juba advokaadi poole pöördumise fakt iseenesest (AdvS § 45 lg 1). MTVS </w:t>
      </w:r>
      <w:r>
        <w:rPr>
          <w:b w:val="0"/>
          <w:bCs/>
          <w:lang w:eastAsia="ar-SA"/>
        </w:rPr>
        <w:t xml:space="preserve">eelnõu </w:t>
      </w:r>
      <w:r w:rsidRPr="003A6380">
        <w:rPr>
          <w:b w:val="0"/>
          <w:bCs/>
          <w:lang w:eastAsia="ar-SA"/>
        </w:rPr>
        <w:t xml:space="preserve">seletuskirja kohaselt, kui advokaat ei saa aruandekohustust täita kutsesaladuse piirangu tõttu, läheb aruandekohustus esmajärjekorras kutsesaladusega hõlmamata isikutele, kes aitasid skeemi väljatöötamisel või olid kaasatud sellega seotud teenuste osutumisel. Sellisel juhul on advokaadil kohustus neid isikuid neile üle läinud kohustustest teavitada. Juhul, kui teisi isikuid kaasatud ei olnud, tuleb advokaadil kliendile teada anda, et </w:t>
      </w:r>
      <w:r>
        <w:rPr>
          <w:b w:val="0"/>
          <w:bCs/>
          <w:lang w:eastAsia="ar-SA"/>
        </w:rPr>
        <w:t xml:space="preserve">kliendil </w:t>
      </w:r>
      <w:r w:rsidRPr="003A6380">
        <w:rPr>
          <w:b w:val="0"/>
          <w:bCs/>
          <w:lang w:eastAsia="ar-SA"/>
        </w:rPr>
        <w:t xml:space="preserve">tuleb skeemi kohta teave ise maksuhaldurile esitada. Küll aga sätestab </w:t>
      </w:r>
      <w:bookmarkStart w:id="3" w:name="para45lg2"/>
      <w:r w:rsidRPr="003A6380">
        <w:rPr>
          <w:b w:val="0"/>
          <w:bCs/>
          <w:lang w:eastAsia="ar-SA"/>
        </w:rPr>
        <w:t>AdvS § 45 lg </w:t>
      </w:r>
      <w:bookmarkEnd w:id="3"/>
      <w:r w:rsidRPr="003A6380">
        <w:rPr>
          <w:b w:val="0"/>
          <w:bCs/>
          <w:lang w:eastAsia="ar-SA"/>
        </w:rPr>
        <w:t>2, et klient võib vabastada advokaadi kutsesaladuse hoidmise kohustusest oma kirjaliku nõusolekuga.</w:t>
      </w:r>
    </w:p>
    <w:p w14:paraId="4EA4B436" w14:textId="77777777" w:rsidR="00B57C5A" w:rsidRDefault="00B57C5A" w:rsidP="00B57C5A">
      <w:pPr>
        <w:suppressAutoHyphens/>
        <w:jc w:val="both"/>
        <w:rPr>
          <w:lang w:eastAsia="ar-SA"/>
        </w:rPr>
      </w:pPr>
    </w:p>
    <w:p w14:paraId="1FA26CC3" w14:textId="77777777" w:rsidR="00B57C5A" w:rsidRPr="003A6380" w:rsidRDefault="00B57C5A" w:rsidP="00B57C5A">
      <w:pPr>
        <w:suppressAutoHyphens/>
        <w:jc w:val="both"/>
        <w:rPr>
          <w:lang w:eastAsia="ar-SA"/>
        </w:rPr>
      </w:pPr>
    </w:p>
    <w:p w14:paraId="353332F5" w14:textId="77777777" w:rsidR="00B57C5A" w:rsidRPr="003A6380" w:rsidRDefault="00B57C5A" w:rsidP="00B57C5A">
      <w:pPr>
        <w:jc w:val="both"/>
        <w:rPr>
          <w:rFonts w:eastAsia="Calibri"/>
          <w:b w:val="0"/>
          <w:bCs/>
        </w:rPr>
      </w:pPr>
      <w:r w:rsidRPr="003A6380">
        <w:rPr>
          <w:rFonts w:eastAsia="Calibri"/>
          <w:bCs/>
        </w:rPr>
        <w:t>Juhatus</w:t>
      </w:r>
    </w:p>
    <w:p w14:paraId="0836AABD" w14:textId="77777777" w:rsidR="00B57C5A" w:rsidRPr="003A6380" w:rsidRDefault="00B57C5A" w:rsidP="00B57C5A">
      <w:pPr>
        <w:contextualSpacing/>
        <w:jc w:val="both"/>
        <w:rPr>
          <w:rFonts w:eastAsia="Calibri"/>
          <w:b w:val="0"/>
          <w:bCs/>
        </w:rPr>
      </w:pPr>
    </w:p>
    <w:p w14:paraId="3440BDF2" w14:textId="77777777" w:rsidR="00B57C5A" w:rsidRPr="003A6380" w:rsidRDefault="00B57C5A" w:rsidP="00B57C5A">
      <w:pPr>
        <w:contextualSpacing/>
        <w:jc w:val="both"/>
        <w:rPr>
          <w:rFonts w:eastAsia="Calibri"/>
          <w:b w:val="0"/>
          <w:bCs/>
        </w:rPr>
      </w:pPr>
      <w:r w:rsidRPr="003A6380">
        <w:rPr>
          <w:rFonts w:eastAsia="Calibri"/>
          <w:bCs/>
        </w:rPr>
        <w:t>O T S U S T A S:</w:t>
      </w:r>
    </w:p>
    <w:p w14:paraId="32C3C9FA" w14:textId="77777777" w:rsidR="00B57C5A" w:rsidRPr="003A6380" w:rsidRDefault="00B57C5A" w:rsidP="00B57C5A">
      <w:pPr>
        <w:contextualSpacing/>
        <w:jc w:val="both"/>
        <w:rPr>
          <w:rFonts w:eastAsia="Calibri"/>
          <w:b w:val="0"/>
          <w:bCs/>
        </w:rPr>
      </w:pPr>
    </w:p>
    <w:p w14:paraId="1C28463A" w14:textId="77777777" w:rsidR="00B57C5A" w:rsidRPr="003A6380" w:rsidRDefault="00B57C5A" w:rsidP="00B57C5A">
      <w:pPr>
        <w:jc w:val="both"/>
        <w:rPr>
          <w:rFonts w:eastAsia="Calibri"/>
          <w:b w:val="0"/>
          <w:bCs/>
        </w:rPr>
      </w:pPr>
      <w:r w:rsidRPr="003A6380">
        <w:rPr>
          <w:rFonts w:eastAsia="Calibri"/>
          <w:bCs/>
        </w:rPr>
        <w:t>Teha juhatuse seisukoht advokaadile teatavaks.</w:t>
      </w:r>
    </w:p>
    <w:p w14:paraId="501AE0B5" w14:textId="77777777" w:rsidR="00B57C5A" w:rsidRDefault="00B57C5A"/>
    <w:sectPr w:rsidR="00B57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5A"/>
    <w:rsid w:val="0003137B"/>
    <w:rsid w:val="00B57C5A"/>
    <w:rsid w:val="00DA0BAC"/>
    <w:rsid w:val="00E77F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6622"/>
  <w15:chartTrackingRefBased/>
  <w15:docId w15:val="{9AF04B03-B673-4801-966E-BDA30E8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57C5A"/>
    <w:pPr>
      <w:spacing w:after="0" w:line="240" w:lineRule="auto"/>
    </w:pPr>
    <w:rPr>
      <w:rFonts w:ascii="Times New Roman" w:eastAsia="Times New Roman" w:hAnsi="Times New Roman" w:cs="Times New Roman"/>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3112</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2020-02-11T08:20:00Z</dcterms:created>
  <dcterms:modified xsi:type="dcterms:W3CDTF">2023-09-29T10:42:00Z</dcterms:modified>
</cp:coreProperties>
</file>