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37B2" w14:textId="77777777" w:rsidR="00FE2C5D" w:rsidRPr="00697C2A" w:rsidRDefault="00FE2C5D" w:rsidP="00FE2C5D">
      <w:pPr>
        <w:rPr>
          <w:color w:val="000000"/>
        </w:rPr>
      </w:pPr>
      <w:r w:rsidRPr="00697C2A">
        <w:rPr>
          <w:bCs/>
          <w:color w:val="000000"/>
        </w:rPr>
        <w:t>EESTI ADVOKATUURI JUHATUS</w:t>
      </w:r>
    </w:p>
    <w:p w14:paraId="3663A2B2" w14:textId="77777777" w:rsidR="00FE2C5D" w:rsidRPr="00697C2A" w:rsidRDefault="00FE2C5D" w:rsidP="00FE2C5D">
      <w:pPr>
        <w:jc w:val="both"/>
        <w:rPr>
          <w:bCs/>
          <w:color w:val="000000"/>
        </w:rPr>
      </w:pPr>
      <w:r w:rsidRPr="00697C2A">
        <w:rPr>
          <w:bCs/>
          <w:color w:val="000000"/>
        </w:rPr>
        <w:t>ISTUNGI PROTOKOLL</w:t>
      </w:r>
    </w:p>
    <w:p w14:paraId="27656A65" w14:textId="77777777" w:rsidR="00FE2C5D" w:rsidRPr="00697C2A" w:rsidRDefault="00FE2C5D" w:rsidP="00FE2C5D">
      <w:pPr>
        <w:jc w:val="both"/>
        <w:rPr>
          <w:bCs/>
          <w:color w:val="000000"/>
        </w:rPr>
      </w:pPr>
      <w:r w:rsidRPr="00697C2A">
        <w:rPr>
          <w:bCs/>
          <w:color w:val="000000"/>
        </w:rPr>
        <w:t>8. august 2017. a nr 17</w:t>
      </w:r>
    </w:p>
    <w:p w14:paraId="78AF7576" w14:textId="77777777" w:rsidR="00FE2C5D" w:rsidRPr="00697C2A" w:rsidRDefault="00FE2C5D" w:rsidP="00FE2C5D">
      <w:pPr>
        <w:jc w:val="both"/>
        <w:rPr>
          <w:bCs/>
          <w:color w:val="000000"/>
        </w:rPr>
      </w:pPr>
      <w:r w:rsidRPr="00697C2A">
        <w:rPr>
          <w:bCs/>
          <w:color w:val="000000"/>
        </w:rPr>
        <w:t>Tallinn</w:t>
      </w:r>
    </w:p>
    <w:p w14:paraId="7E3A28B9" w14:textId="77777777" w:rsidR="003F1CF5" w:rsidRDefault="003F1CF5"/>
    <w:p w14:paraId="183940F6" w14:textId="6C3DFD89" w:rsidR="00523268" w:rsidRDefault="00523268" w:rsidP="00523268">
      <w:pPr>
        <w:pStyle w:val="Pealkiri1"/>
        <w:spacing w:before="0"/>
        <w:ind w:left="567" w:hanging="567"/>
        <w:rPr>
          <w:rFonts w:ascii="Times New Roman" w:hAnsi="Times New Roman" w:cs="Times New Roman"/>
          <w:b/>
          <w:color w:val="000000"/>
          <w:sz w:val="24"/>
          <w:szCs w:val="24"/>
        </w:rPr>
      </w:pPr>
    </w:p>
    <w:p w14:paraId="70DC74DC" w14:textId="77777777" w:rsidR="004C68DA" w:rsidRDefault="004C68DA" w:rsidP="004C68DA"/>
    <w:p w14:paraId="38136C2A" w14:textId="77777777" w:rsidR="004C68DA" w:rsidRDefault="004C68DA" w:rsidP="004C68DA"/>
    <w:p w14:paraId="383D07C0" w14:textId="09965186" w:rsidR="004C68DA" w:rsidRPr="004C68DA" w:rsidRDefault="004C68DA" w:rsidP="004C68DA">
      <w:pPr>
        <w:rPr>
          <w:b/>
          <w:bCs/>
        </w:rPr>
      </w:pPr>
      <w:r w:rsidRPr="004C68DA">
        <w:rPr>
          <w:b/>
          <w:bCs/>
        </w:rPr>
        <w:t>Esindaja menetlusest kõrvaldamine</w:t>
      </w:r>
    </w:p>
    <w:p w14:paraId="677DEBAA" w14:textId="77777777" w:rsidR="00523268" w:rsidRPr="00523268" w:rsidRDefault="00523268" w:rsidP="00523268">
      <w:pPr>
        <w:ind w:left="420"/>
        <w:jc w:val="both"/>
        <w:rPr>
          <w:bCs/>
          <w:color w:val="000000"/>
        </w:rPr>
      </w:pPr>
    </w:p>
    <w:p w14:paraId="64C6D1D7" w14:textId="77777777" w:rsidR="00523268" w:rsidRPr="00523268" w:rsidRDefault="00523268" w:rsidP="00523268">
      <w:pPr>
        <w:jc w:val="both"/>
        <w:rPr>
          <w:rFonts w:eastAsia="ヒラギノ角ゴ Pro W3"/>
          <w:color w:val="000000"/>
        </w:rPr>
      </w:pPr>
      <w:r w:rsidRPr="00523268">
        <w:rPr>
          <w:rFonts w:eastAsia="ヒラギノ角ゴ Pro W3"/>
          <w:color w:val="000000"/>
        </w:rPr>
        <w:t xml:space="preserve">Vandeadvokaat X pöördus Eesti Advokatuuri juhatuse poole tsiviilkohtumenetluses üles kerkinud praktilise probleemiga. </w:t>
      </w:r>
    </w:p>
    <w:p w14:paraId="3A6D1353" w14:textId="77777777" w:rsidR="00523268" w:rsidRPr="00523268" w:rsidRDefault="00523268" w:rsidP="00523268">
      <w:pPr>
        <w:jc w:val="both"/>
        <w:rPr>
          <w:rFonts w:eastAsia="ヒラギノ角ゴ Pro W3"/>
          <w:color w:val="000000"/>
        </w:rPr>
      </w:pPr>
    </w:p>
    <w:p w14:paraId="058B386A" w14:textId="77777777" w:rsidR="00523268" w:rsidRPr="00523268" w:rsidRDefault="00523268" w:rsidP="00523268">
      <w:pPr>
        <w:jc w:val="both"/>
        <w:rPr>
          <w:rFonts w:eastAsia="ヒラギノ角ゴ Pro W3"/>
          <w:color w:val="000000"/>
        </w:rPr>
      </w:pPr>
      <w:r w:rsidRPr="00523268">
        <w:rPr>
          <w:rFonts w:eastAsia="ヒラギノ角ゴ Pro W3"/>
          <w:color w:val="000000"/>
        </w:rPr>
        <w:t xml:space="preserve">Advokaat toob välja, et tulenevalt TsMS § 45 lg-st 2 on kohtul õigus kõrvaldada menetlusosalise esindaja menetlusest, kui esindaja ei ole võimeline kohtus nõuetekohaselt esinema, muu hulgas puuduliku keeleoskuse tõttu, või on kohtumenetluses näidanud end ebaausana, asjatundmatuna või vastutustundetuna, samuti kui ta on pahatahtlikult takistanud asja õiget, kiiret ja võimalikult väikeste kuludega menetlemist või jätnud korduvalt täitmata kohtu korralduse. Sarnane regulatsioon on ka halduskohtu- ja kriminaalmenetluses. Kuni 01.01.2009 kehtinud seadustik sellist advokaadi kõrvaldamise võimalust ette ei näinud. Menetlusest kõrvaldamine toimub hoiatuseta (erinevalt nt rahatrahvist ja arestist) ning sellele ei saa TsMS kohaselt määruskaebust esitada. Selliselt on võimalik ka advokaadi alusetu ja lõplik kõrvaldamine menetlusest, mis on </w:t>
      </w:r>
      <w:proofErr w:type="spellStart"/>
      <w:r w:rsidRPr="00523268">
        <w:rPr>
          <w:rFonts w:eastAsia="ヒラギノ角ゴ Pro W3"/>
          <w:color w:val="000000"/>
        </w:rPr>
        <w:t>pöörduja</w:t>
      </w:r>
      <w:proofErr w:type="spellEnd"/>
      <w:r w:rsidRPr="00523268">
        <w:rPr>
          <w:rFonts w:eastAsia="ヒラギノ角ゴ Pro W3"/>
          <w:color w:val="000000"/>
        </w:rPr>
        <w:t xml:space="preserve"> hinnangul selge riive õigusriigi põhimõtte suhtes ning takistab advokaadi kutsetegevust mittevajalikul määral. Advokaat palus juhatusel arutada antud küsimust ning kaaluda vajadust seadusemuudatuse väljatöötamise algatuse esitamiseks, et sellise „sanktsiooni“ kohaldamine Eesti Advokatuuri liikmete suhtes oleks kõrgema astme kohtu poolt kontrollitav ning vaidlustatav. </w:t>
      </w:r>
    </w:p>
    <w:p w14:paraId="48FFE524" w14:textId="77777777" w:rsidR="00523268" w:rsidRPr="00523268" w:rsidRDefault="00523268" w:rsidP="00523268">
      <w:pPr>
        <w:jc w:val="both"/>
        <w:rPr>
          <w:rFonts w:eastAsia="ヒラギノ角ゴ Pro W3"/>
          <w:color w:val="000000"/>
        </w:rPr>
      </w:pPr>
    </w:p>
    <w:p w14:paraId="1C067D7B" w14:textId="77777777" w:rsidR="00523268" w:rsidRPr="00523268" w:rsidRDefault="00523268" w:rsidP="00523268">
      <w:pPr>
        <w:jc w:val="both"/>
        <w:rPr>
          <w:rFonts w:eastAsia="ヒラギノ角ゴ Pro W3"/>
          <w:color w:val="000000"/>
        </w:rPr>
      </w:pPr>
      <w:r w:rsidRPr="00523268">
        <w:rPr>
          <w:rFonts w:eastAsia="ヒラギノ角ゴ Pro W3"/>
          <w:color w:val="000000"/>
        </w:rPr>
        <w:t>Juhatus leiab, et advokaadist esindaja menetlusest kõrvaldamine puudutab oluliselt advokaatide kutsetegevust ja võib riivata klientide põhiõigust õiglasele kohtumenetlusele ning seetõttu advokaadil peaks olema õigus tema suhtes tehtud määruse edasi kaebamiseks. Seetõttu tuleks teha Justiitsministeeriumile ettepanek tsiviilkohtumenetluse seadustiku muutmise algatamiseks.</w:t>
      </w:r>
    </w:p>
    <w:p w14:paraId="4008A4A3" w14:textId="77777777" w:rsidR="00523268" w:rsidRPr="00523268" w:rsidRDefault="00523268" w:rsidP="00523268">
      <w:pPr>
        <w:jc w:val="both"/>
        <w:rPr>
          <w:rFonts w:eastAsia="ヒラギノ角ゴ Pro W3"/>
          <w:color w:val="000000"/>
        </w:rPr>
      </w:pPr>
    </w:p>
    <w:p w14:paraId="26A0C999" w14:textId="77777777" w:rsidR="00523268" w:rsidRPr="00523268" w:rsidRDefault="00523268" w:rsidP="00523268">
      <w:pPr>
        <w:jc w:val="both"/>
        <w:rPr>
          <w:rFonts w:eastAsia="ヒラギノ角ゴ Pro W3"/>
          <w:b/>
          <w:color w:val="000000"/>
        </w:rPr>
      </w:pPr>
    </w:p>
    <w:p w14:paraId="0162B7E5" w14:textId="77777777" w:rsidR="00523268" w:rsidRPr="00523268" w:rsidRDefault="00523268" w:rsidP="00523268">
      <w:pPr>
        <w:jc w:val="both"/>
        <w:rPr>
          <w:rFonts w:eastAsia="ヒラギノ角ゴ Pro W3"/>
          <w:b/>
          <w:color w:val="000000"/>
        </w:rPr>
      </w:pPr>
      <w:r w:rsidRPr="00523268">
        <w:rPr>
          <w:rFonts w:eastAsia="ヒラギノ角ゴ Pro W3"/>
          <w:b/>
          <w:color w:val="000000"/>
        </w:rPr>
        <w:t xml:space="preserve">Juhatus </w:t>
      </w:r>
    </w:p>
    <w:p w14:paraId="43358057" w14:textId="77777777" w:rsidR="00523268" w:rsidRPr="004C68DA" w:rsidRDefault="00523268" w:rsidP="00523268">
      <w:pPr>
        <w:jc w:val="both"/>
        <w:rPr>
          <w:rFonts w:eastAsia="ヒラギノ角ゴ Pro W3"/>
          <w:b/>
          <w:bCs/>
          <w:color w:val="000000"/>
        </w:rPr>
      </w:pPr>
    </w:p>
    <w:p w14:paraId="768973A1" w14:textId="77777777" w:rsidR="00523268" w:rsidRPr="004C68DA" w:rsidRDefault="00523268" w:rsidP="00523268">
      <w:pPr>
        <w:jc w:val="both"/>
        <w:rPr>
          <w:rFonts w:eastAsia="ヒラギノ角ゴ Pro W3"/>
          <w:b/>
          <w:bCs/>
          <w:color w:val="000000"/>
        </w:rPr>
      </w:pPr>
      <w:r w:rsidRPr="004C68DA">
        <w:rPr>
          <w:rFonts w:eastAsia="ヒラギノ角ゴ Pro W3"/>
          <w:b/>
          <w:bCs/>
          <w:color w:val="000000"/>
        </w:rPr>
        <w:t xml:space="preserve">O T S U S T A S: </w:t>
      </w:r>
    </w:p>
    <w:p w14:paraId="1225CD9E" w14:textId="77777777" w:rsidR="00523268" w:rsidRPr="004C68DA" w:rsidRDefault="00523268" w:rsidP="00523268">
      <w:pPr>
        <w:jc w:val="both"/>
        <w:rPr>
          <w:rFonts w:eastAsia="ヒラギノ角ゴ Pro W3"/>
          <w:b/>
          <w:bCs/>
          <w:color w:val="000000"/>
        </w:rPr>
      </w:pPr>
    </w:p>
    <w:p w14:paraId="4F4DF00D" w14:textId="77777777" w:rsidR="00523268" w:rsidRPr="004C68DA" w:rsidRDefault="00523268" w:rsidP="00523268">
      <w:pPr>
        <w:jc w:val="both"/>
        <w:rPr>
          <w:b/>
          <w:bCs/>
          <w:color w:val="000000"/>
        </w:rPr>
      </w:pPr>
      <w:r w:rsidRPr="004C68DA">
        <w:rPr>
          <w:rFonts w:eastAsia="ヒラギノ角ゴ Pro W3"/>
          <w:b/>
          <w:bCs/>
          <w:color w:val="000000"/>
        </w:rPr>
        <w:t>Teha ettepanek tsiviilkohtumenetluse seadustiku muutmise algatamiseks.</w:t>
      </w:r>
    </w:p>
    <w:p w14:paraId="7BFF11C3" w14:textId="77777777" w:rsidR="00D87AC2" w:rsidRPr="00523268" w:rsidRDefault="00D87AC2">
      <w:pPr>
        <w:rPr>
          <w:b/>
        </w:rPr>
      </w:pPr>
    </w:p>
    <w:sectPr w:rsidR="00D87AC2" w:rsidRPr="0052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6016B8"/>
    <w:multiLevelType w:val="hybridMultilevel"/>
    <w:tmpl w:val="E1E839C0"/>
    <w:lvl w:ilvl="0" w:tplc="E898B2A8">
      <w:start w:val="1"/>
      <w:numFmt w:val="lowerLetter"/>
      <w:lvlText w:val="%1)"/>
      <w:lvlJc w:val="left"/>
      <w:pPr>
        <w:ind w:left="360" w:hanging="360"/>
      </w:pPr>
      <w:rPr>
        <w:rFonts w:ascii="Times New Roman" w:eastAsia="Calibri" w:hAnsi="Times New Roman" w:cs="Times New Roman"/>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BA46F96"/>
    <w:multiLevelType w:val="multilevel"/>
    <w:tmpl w:val="B33C9900"/>
    <w:lvl w:ilvl="0">
      <w:start w:val="1"/>
      <w:numFmt w:val="decimal"/>
      <w:pStyle w:val="Level1"/>
      <w:isLgl/>
      <w:lvlText w:val="%1"/>
      <w:lvlJc w:val="left"/>
      <w:pPr>
        <w:tabs>
          <w:tab w:val="num" w:pos="720"/>
        </w:tabs>
        <w:ind w:left="720" w:hanging="720"/>
      </w:pPr>
      <w:rPr>
        <w:rFonts w:ascii="Garamond" w:hAnsi="Garamond" w:hint="default"/>
        <w:b/>
        <w:i w:val="0"/>
        <w:caps w:val="0"/>
        <w:strike w:val="0"/>
        <w:dstrike w:val="0"/>
        <w:vanish w:val="0"/>
        <w:color w:val="000000"/>
        <w:sz w:val="20"/>
        <w:szCs w:val="22"/>
        <w:vertAlign w:val="baseline"/>
      </w:rPr>
    </w:lvl>
    <w:lvl w:ilvl="1">
      <w:start w:val="1"/>
      <w:numFmt w:val="decimal"/>
      <w:pStyle w:val="Level2"/>
      <w:isLgl/>
      <w:lvlText w:val="%1.%2"/>
      <w:lvlJc w:val="left"/>
      <w:pPr>
        <w:tabs>
          <w:tab w:val="num" w:pos="720"/>
        </w:tabs>
        <w:ind w:left="720" w:hanging="720"/>
      </w:pPr>
      <w:rPr>
        <w:rFonts w:ascii="Garamond" w:hAnsi="Garamond" w:hint="default"/>
        <w:b w:val="0"/>
        <w:i w:val="0"/>
        <w:caps w:val="0"/>
        <w:strike w:val="0"/>
        <w:dstrike w:val="0"/>
        <w:vanish w:val="0"/>
        <w:color w:val="000000"/>
        <w:sz w:val="20"/>
        <w:szCs w:val="22"/>
        <w:vertAlign w:val="baseline"/>
      </w:rPr>
    </w:lvl>
    <w:lvl w:ilvl="2">
      <w:start w:val="1"/>
      <w:numFmt w:val="decimal"/>
      <w:pStyle w:val="Level3"/>
      <w:isLgl/>
      <w:lvlText w:val="%1.%2.%3"/>
      <w:lvlJc w:val="left"/>
      <w:pPr>
        <w:tabs>
          <w:tab w:val="num" w:pos="720"/>
        </w:tabs>
        <w:ind w:left="720" w:hanging="720"/>
      </w:pPr>
      <w:rPr>
        <w:rFonts w:ascii="Verdana" w:hAnsi="Verdana" w:hint="default"/>
        <w:b w:val="0"/>
        <w:i w:val="0"/>
        <w:caps w:val="0"/>
        <w:strike w:val="0"/>
        <w:dstrike w:val="0"/>
        <w:vanish w:val="0"/>
        <w:color w:val="auto"/>
        <w:spacing w:val="-6"/>
        <w:sz w:val="20"/>
        <w:szCs w:val="22"/>
        <w:vertAlign w:val="baseline"/>
      </w:rPr>
    </w:lvl>
    <w:lvl w:ilvl="3">
      <w:start w:val="1"/>
      <w:numFmt w:val="decimal"/>
      <w:pStyle w:val="Level4"/>
      <w:lvlText w:val="%1.%2.%3.%4"/>
      <w:lvlJc w:val="left"/>
      <w:pPr>
        <w:tabs>
          <w:tab w:val="num" w:pos="1701"/>
        </w:tabs>
        <w:ind w:left="1701" w:hanging="981"/>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rPr>
    </w:lvl>
    <w:lvl w:ilvl="4">
      <w:start w:val="1"/>
      <w:numFmt w:val="decimal"/>
      <w:pStyle w:val="Level5"/>
      <w:lvlText w:val="%1.%2.%3.%4.%5"/>
      <w:lvlJc w:val="left"/>
      <w:pPr>
        <w:tabs>
          <w:tab w:val="num" w:pos="2835"/>
        </w:tabs>
        <w:ind w:left="2835" w:hanging="1134"/>
      </w:pPr>
      <w:rPr>
        <w:rFonts w:ascii="Verdana" w:hAnsi="Verdana" w:cs="Times New Roman" w:hint="default"/>
        <w:b w:val="0"/>
        <w:bCs w:val="0"/>
        <w:i w:val="0"/>
        <w:iCs w:val="0"/>
        <w:caps w:val="0"/>
        <w:smallCaps w:val="0"/>
        <w:strike w:val="0"/>
        <w:dstrike w:val="0"/>
        <w:noProof w:val="0"/>
        <w:vanish w:val="0"/>
        <w:color w:val="auto"/>
        <w:spacing w:val="0"/>
        <w:kern w:val="0"/>
        <w:position w:val="0"/>
        <w:sz w:val="20"/>
        <w:u w:val="none"/>
        <w:vertAlign w:val="baseline"/>
        <w:em w:val="none"/>
      </w:rPr>
    </w:lvl>
    <w:lvl w:ilvl="5">
      <w:start w:val="1"/>
      <w:numFmt w:val="decimal"/>
      <w:pStyle w:val="level6"/>
      <w:lvlText w:val="%1.%2.%3.%4.%5.%6"/>
      <w:lvlJc w:val="left"/>
      <w:pPr>
        <w:tabs>
          <w:tab w:val="num" w:pos="4253"/>
        </w:tabs>
        <w:ind w:left="4253" w:hanging="1418"/>
      </w:pPr>
      <w:rPr>
        <w:rFonts w:ascii="Verdana" w:hAnsi="Verdana" w:hint="default"/>
        <w:b w:val="0"/>
        <w:i w:val="0"/>
        <w:sz w:val="20"/>
        <w:szCs w:val="22"/>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49B44E84"/>
    <w:multiLevelType w:val="multilevel"/>
    <w:tmpl w:val="CEA65A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126731879">
    <w:abstractNumId w:val="3"/>
  </w:num>
  <w:num w:numId="2" w16cid:durableId="242879696">
    <w:abstractNumId w:val="0"/>
  </w:num>
  <w:num w:numId="3" w16cid:durableId="420833626">
    <w:abstractNumId w:val="1"/>
  </w:num>
  <w:num w:numId="4" w16cid:durableId="176187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7"/>
    <w:rsid w:val="003F1CF5"/>
    <w:rsid w:val="004C68DA"/>
    <w:rsid w:val="00523268"/>
    <w:rsid w:val="007401B8"/>
    <w:rsid w:val="008935F7"/>
    <w:rsid w:val="00A63BA2"/>
    <w:rsid w:val="00AE35F7"/>
    <w:rsid w:val="00BC6B00"/>
    <w:rsid w:val="00D61A05"/>
    <w:rsid w:val="00D76809"/>
    <w:rsid w:val="00D87AC2"/>
    <w:rsid w:val="00F45E5D"/>
    <w:rsid w:val="00FD4C1C"/>
    <w:rsid w:val="00FE2C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3912"/>
  <w15:chartTrackingRefBased/>
  <w15:docId w15:val="{B837C192-6FF3-44D8-B286-129C6E0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E35F7"/>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uiPriority w:val="9"/>
    <w:qFormat/>
    <w:rsid w:val="005232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Pealkiri4">
    <w:name w:val="heading 4"/>
    <w:basedOn w:val="Normaallaad"/>
    <w:next w:val="Normaallaad"/>
    <w:link w:val="Pealkiri4Mrk"/>
    <w:uiPriority w:val="9"/>
    <w:semiHidden/>
    <w:unhideWhenUsed/>
    <w:qFormat/>
    <w:rsid w:val="007401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uiPriority w:val="99"/>
    <w:rsid w:val="008935F7"/>
    <w:pPr>
      <w:suppressAutoHyphens/>
      <w:spacing w:after="0" w:line="240" w:lineRule="auto"/>
      <w:jc w:val="both"/>
    </w:pPr>
    <w:rPr>
      <w:rFonts w:ascii="Times New Roman" w:eastAsia="ヒラギノ角ゴ Pro W3" w:hAnsi="Times New Roman" w:cs="Times New Roman"/>
      <w:iCs/>
      <w:color w:val="000000" w:themeColor="text1"/>
      <w:sz w:val="24"/>
      <w:szCs w:val="24"/>
      <w:lang w:eastAsia="et-EE"/>
    </w:rPr>
  </w:style>
  <w:style w:type="paragraph" w:styleId="Lihttekst">
    <w:name w:val="Plain Text"/>
    <w:basedOn w:val="Normaallaad"/>
    <w:link w:val="LihttekstMrk"/>
    <w:uiPriority w:val="99"/>
    <w:unhideWhenUsed/>
    <w:rsid w:val="00BC6B00"/>
    <w:rPr>
      <w:rFonts w:ascii="Consolas" w:eastAsia="Calibri" w:hAnsi="Consolas"/>
      <w:b/>
      <w:sz w:val="21"/>
      <w:szCs w:val="21"/>
      <w:lang w:eastAsia="en-US"/>
    </w:rPr>
  </w:style>
  <w:style w:type="character" w:customStyle="1" w:styleId="PlainTextChar">
    <w:name w:val="Plain Text Char"/>
    <w:basedOn w:val="Liguvaikefont"/>
    <w:uiPriority w:val="99"/>
    <w:semiHidden/>
    <w:rsid w:val="00BC6B00"/>
    <w:rPr>
      <w:rFonts w:ascii="Consolas" w:eastAsia="Times New Roman" w:hAnsi="Consolas" w:cs="Times New Roman"/>
      <w:sz w:val="21"/>
      <w:szCs w:val="21"/>
      <w:lang w:eastAsia="et-EE"/>
    </w:rPr>
  </w:style>
  <w:style w:type="character" w:customStyle="1" w:styleId="LihttekstMrk">
    <w:name w:val="Lihttekst Märk"/>
    <w:link w:val="Lihttekst"/>
    <w:uiPriority w:val="99"/>
    <w:rsid w:val="00BC6B00"/>
    <w:rPr>
      <w:rFonts w:ascii="Consolas" w:eastAsia="Calibri" w:hAnsi="Consolas" w:cs="Times New Roman"/>
      <w:b/>
      <w:sz w:val="21"/>
      <w:szCs w:val="21"/>
    </w:rPr>
  </w:style>
  <w:style w:type="paragraph" w:styleId="Loendilik">
    <w:name w:val="List Paragraph"/>
    <w:basedOn w:val="Normaallaad"/>
    <w:uiPriority w:val="34"/>
    <w:qFormat/>
    <w:rsid w:val="00D61A05"/>
    <w:pPr>
      <w:ind w:left="720"/>
      <w:contextualSpacing/>
    </w:pPr>
    <w:rPr>
      <w:rFonts w:ascii="Cambria" w:eastAsia="Calibri" w:hAnsi="Cambria"/>
    </w:rPr>
  </w:style>
  <w:style w:type="paragraph" w:customStyle="1" w:styleId="Level1">
    <w:name w:val="Level 1"/>
    <w:basedOn w:val="Normaallaad"/>
    <w:autoRedefine/>
    <w:qFormat/>
    <w:rsid w:val="007401B8"/>
    <w:pPr>
      <w:keepNext/>
      <w:numPr>
        <w:numId w:val="4"/>
      </w:numPr>
      <w:autoSpaceDE w:val="0"/>
      <w:autoSpaceDN w:val="0"/>
      <w:adjustRightInd w:val="0"/>
      <w:spacing w:before="360" w:after="240"/>
      <w:jc w:val="both"/>
      <w:outlineLvl w:val="0"/>
    </w:pPr>
    <w:rPr>
      <w:rFonts w:ascii="Garamond" w:hAnsi="Garamond" w:cs="Arial"/>
      <w:b/>
      <w:caps/>
      <w:kern w:val="20"/>
      <w:sz w:val="22"/>
      <w:lang w:eastAsia="en-US"/>
    </w:rPr>
  </w:style>
  <w:style w:type="paragraph" w:customStyle="1" w:styleId="Level2">
    <w:name w:val="Level 2"/>
    <w:basedOn w:val="Normaallaad"/>
    <w:rsid w:val="007401B8"/>
    <w:pPr>
      <w:numPr>
        <w:ilvl w:val="1"/>
        <w:numId w:val="4"/>
      </w:numPr>
      <w:autoSpaceDE w:val="0"/>
      <w:autoSpaceDN w:val="0"/>
      <w:adjustRightInd w:val="0"/>
      <w:spacing w:after="240"/>
      <w:jc w:val="both"/>
      <w:outlineLvl w:val="1"/>
    </w:pPr>
    <w:rPr>
      <w:rFonts w:ascii="Verdana" w:hAnsi="Verdana" w:cs="Arial"/>
      <w:kern w:val="20"/>
      <w:sz w:val="20"/>
      <w:szCs w:val="22"/>
      <w:lang w:eastAsia="en-US"/>
    </w:rPr>
  </w:style>
  <w:style w:type="paragraph" w:customStyle="1" w:styleId="Level3">
    <w:name w:val="Level 3"/>
    <w:basedOn w:val="Normaallaad"/>
    <w:rsid w:val="007401B8"/>
    <w:pPr>
      <w:numPr>
        <w:ilvl w:val="2"/>
        <w:numId w:val="4"/>
      </w:numPr>
      <w:autoSpaceDE w:val="0"/>
      <w:autoSpaceDN w:val="0"/>
      <w:adjustRightInd w:val="0"/>
      <w:spacing w:after="240"/>
      <w:jc w:val="both"/>
      <w:outlineLvl w:val="2"/>
    </w:pPr>
    <w:rPr>
      <w:rFonts w:ascii="Verdana" w:hAnsi="Verdana" w:cs="Arial"/>
      <w:kern w:val="20"/>
      <w:sz w:val="20"/>
      <w:szCs w:val="22"/>
      <w:lang w:eastAsia="en-US"/>
    </w:rPr>
  </w:style>
  <w:style w:type="paragraph" w:customStyle="1" w:styleId="Level4">
    <w:name w:val="Level 4"/>
    <w:basedOn w:val="Pealkiri4"/>
    <w:rsid w:val="007401B8"/>
    <w:pPr>
      <w:keepNext w:val="0"/>
      <w:keepLines w:val="0"/>
      <w:numPr>
        <w:ilvl w:val="3"/>
        <w:numId w:val="4"/>
      </w:numPr>
      <w:tabs>
        <w:tab w:val="clear" w:pos="1701"/>
        <w:tab w:val="num" w:pos="360"/>
        <w:tab w:val="left" w:pos="397"/>
      </w:tabs>
      <w:overflowPunct w:val="0"/>
      <w:autoSpaceDE w:val="0"/>
      <w:autoSpaceDN w:val="0"/>
      <w:adjustRightInd w:val="0"/>
      <w:spacing w:before="0" w:after="240"/>
      <w:ind w:left="2880" w:hanging="360"/>
      <w:jc w:val="both"/>
      <w:textAlignment w:val="baseline"/>
    </w:pPr>
    <w:rPr>
      <w:rFonts w:ascii="Verdana" w:eastAsia="Times New Roman" w:hAnsi="Verdana" w:cs="Times New Roman"/>
      <w:i w:val="0"/>
      <w:iCs w:val="0"/>
      <w:color w:val="auto"/>
      <w:sz w:val="20"/>
      <w:lang w:val="en-US" w:eastAsia="en-US"/>
    </w:rPr>
  </w:style>
  <w:style w:type="paragraph" w:customStyle="1" w:styleId="level6">
    <w:name w:val="level 6"/>
    <w:basedOn w:val="Normaallaad"/>
    <w:rsid w:val="007401B8"/>
    <w:pPr>
      <w:numPr>
        <w:ilvl w:val="5"/>
        <w:numId w:val="4"/>
      </w:numPr>
      <w:spacing w:after="240"/>
      <w:jc w:val="both"/>
    </w:pPr>
    <w:rPr>
      <w:rFonts w:ascii="Verdana" w:hAnsi="Verdana"/>
      <w:sz w:val="20"/>
    </w:rPr>
  </w:style>
  <w:style w:type="paragraph" w:customStyle="1" w:styleId="Level5">
    <w:name w:val="Level 5"/>
    <w:basedOn w:val="Level4"/>
    <w:rsid w:val="007401B8"/>
    <w:pPr>
      <w:numPr>
        <w:ilvl w:val="4"/>
      </w:numPr>
      <w:tabs>
        <w:tab w:val="clear" w:pos="2835"/>
        <w:tab w:val="num" w:pos="360"/>
      </w:tabs>
      <w:ind w:left="3600" w:hanging="360"/>
    </w:pPr>
  </w:style>
  <w:style w:type="character" w:customStyle="1" w:styleId="Pealkiri4Mrk">
    <w:name w:val="Pealkiri 4 Märk"/>
    <w:basedOn w:val="Liguvaikefont"/>
    <w:link w:val="Pealkiri4"/>
    <w:uiPriority w:val="9"/>
    <w:semiHidden/>
    <w:rsid w:val="007401B8"/>
    <w:rPr>
      <w:rFonts w:asciiTheme="majorHAnsi" w:eastAsiaTheme="majorEastAsia" w:hAnsiTheme="majorHAnsi" w:cstheme="majorBidi"/>
      <w:i/>
      <w:iCs/>
      <w:color w:val="2F5496" w:themeColor="accent1" w:themeShade="BF"/>
      <w:sz w:val="24"/>
      <w:szCs w:val="24"/>
      <w:lang w:eastAsia="et-EE"/>
    </w:rPr>
  </w:style>
  <w:style w:type="character" w:customStyle="1" w:styleId="Pealkiri1Mrk">
    <w:name w:val="Pealkiri 1 Märk"/>
    <w:basedOn w:val="Liguvaikefont"/>
    <w:link w:val="Pealkiri1"/>
    <w:uiPriority w:val="9"/>
    <w:rsid w:val="00523268"/>
    <w:rPr>
      <w:rFonts w:asciiTheme="majorHAnsi" w:eastAsiaTheme="majorEastAsia" w:hAnsiTheme="majorHAnsi" w:cstheme="majorBidi"/>
      <w:color w:val="2F5496" w:themeColor="accent1" w:themeShade="BF"/>
      <w:sz w:val="32"/>
      <w:szCs w:val="3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8882">
      <w:bodyDiv w:val="1"/>
      <w:marLeft w:val="0"/>
      <w:marRight w:val="0"/>
      <w:marTop w:val="0"/>
      <w:marBottom w:val="0"/>
      <w:divBdr>
        <w:top w:val="none" w:sz="0" w:space="0" w:color="auto"/>
        <w:left w:val="none" w:sz="0" w:space="0" w:color="auto"/>
        <w:bottom w:val="none" w:sz="0" w:space="0" w:color="auto"/>
        <w:right w:val="none" w:sz="0" w:space="0" w:color="auto"/>
      </w:divBdr>
    </w:div>
    <w:div w:id="15839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4</cp:revision>
  <dcterms:created xsi:type="dcterms:W3CDTF">2019-04-23T07:15:00Z</dcterms:created>
  <dcterms:modified xsi:type="dcterms:W3CDTF">2023-10-03T06:46:00Z</dcterms:modified>
</cp:coreProperties>
</file>