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A939" w14:textId="77777777" w:rsidR="006815FE" w:rsidRPr="00A323D2" w:rsidRDefault="006815FE" w:rsidP="006815FE">
      <w:pPr>
        <w:tabs>
          <w:tab w:val="left" w:pos="2410"/>
        </w:tabs>
        <w:jc w:val="both"/>
        <w:rPr>
          <w:noProof/>
          <w:color w:val="000000"/>
        </w:rPr>
      </w:pPr>
      <w:r w:rsidRPr="00A323D2">
        <w:rPr>
          <w:noProof/>
          <w:color w:val="000000"/>
        </w:rPr>
        <w:t>EESTI ADVOKATUURI JUHATUS</w:t>
      </w:r>
    </w:p>
    <w:p w14:paraId="755FEC03" w14:textId="77777777" w:rsidR="006815FE" w:rsidRPr="00A323D2" w:rsidRDefault="006815FE" w:rsidP="006815FE">
      <w:pPr>
        <w:tabs>
          <w:tab w:val="center" w:pos="4513"/>
          <w:tab w:val="right" w:pos="8666"/>
        </w:tabs>
        <w:jc w:val="both"/>
        <w:rPr>
          <w:noProof/>
          <w:color w:val="000000"/>
        </w:rPr>
      </w:pPr>
      <w:r w:rsidRPr="00A323D2">
        <w:rPr>
          <w:noProof/>
          <w:color w:val="000000"/>
        </w:rPr>
        <w:t>ISTUNGI PROTOKOLL</w:t>
      </w:r>
    </w:p>
    <w:p w14:paraId="7BEE160A" w14:textId="77777777" w:rsidR="006815FE" w:rsidRPr="00A323D2" w:rsidRDefault="006815FE" w:rsidP="006815FE">
      <w:pPr>
        <w:tabs>
          <w:tab w:val="left" w:pos="5340"/>
        </w:tabs>
        <w:jc w:val="both"/>
        <w:rPr>
          <w:noProof/>
          <w:color w:val="000000"/>
        </w:rPr>
      </w:pPr>
      <w:r>
        <w:rPr>
          <w:noProof/>
          <w:color w:val="000000"/>
        </w:rPr>
        <w:t>17. juuni</w:t>
      </w:r>
      <w:r w:rsidRPr="00A323D2">
        <w:rPr>
          <w:noProof/>
          <w:color w:val="000000"/>
        </w:rPr>
        <w:t xml:space="preserve"> 2014. a nr </w:t>
      </w:r>
      <w:r>
        <w:rPr>
          <w:noProof/>
          <w:color w:val="000000"/>
        </w:rPr>
        <w:t>13</w:t>
      </w:r>
      <w:r w:rsidRPr="00A323D2">
        <w:rPr>
          <w:noProof/>
          <w:color w:val="000000"/>
        </w:rPr>
        <w:tab/>
      </w:r>
    </w:p>
    <w:p w14:paraId="77D06DA6" w14:textId="77777777" w:rsidR="006815FE" w:rsidRPr="00A323D2" w:rsidRDefault="006815FE" w:rsidP="006815FE">
      <w:pPr>
        <w:tabs>
          <w:tab w:val="center" w:pos="4513"/>
          <w:tab w:val="right" w:pos="8666"/>
        </w:tabs>
        <w:jc w:val="both"/>
        <w:rPr>
          <w:noProof/>
          <w:color w:val="000000"/>
        </w:rPr>
      </w:pPr>
      <w:r w:rsidRPr="00A323D2">
        <w:rPr>
          <w:noProof/>
          <w:color w:val="000000"/>
        </w:rPr>
        <w:t>Tallinn</w:t>
      </w:r>
    </w:p>
    <w:p w14:paraId="120B686D" w14:textId="77777777" w:rsidR="006815FE" w:rsidRDefault="006815FE" w:rsidP="006815FE">
      <w:pPr>
        <w:jc w:val="both"/>
        <w:rPr>
          <w:b/>
          <w:bCs/>
          <w:color w:val="000000"/>
        </w:rPr>
      </w:pPr>
    </w:p>
    <w:p w14:paraId="5AB1DF75" w14:textId="77777777" w:rsidR="006815FE" w:rsidRPr="004542DA" w:rsidRDefault="006815FE" w:rsidP="006815FE">
      <w:pPr>
        <w:jc w:val="both"/>
        <w:rPr>
          <w:b/>
          <w:bCs/>
          <w:color w:val="000000"/>
        </w:rPr>
      </w:pPr>
    </w:p>
    <w:p w14:paraId="63C926CC" w14:textId="77777777" w:rsidR="006815FE" w:rsidRDefault="006815FE" w:rsidP="006815FE">
      <w:pPr>
        <w:jc w:val="both"/>
        <w:rPr>
          <w:b/>
          <w:bCs/>
          <w:color w:val="000000"/>
        </w:rPr>
      </w:pPr>
    </w:p>
    <w:p w14:paraId="35A82019" w14:textId="492D6739" w:rsidR="00D90398" w:rsidRDefault="00D90398" w:rsidP="006815FE">
      <w:pPr>
        <w:jc w:val="both"/>
        <w:rPr>
          <w:b/>
          <w:bCs/>
          <w:color w:val="000000"/>
        </w:rPr>
      </w:pPr>
      <w:r>
        <w:rPr>
          <w:b/>
          <w:bCs/>
          <w:color w:val="000000"/>
        </w:rPr>
        <w:t>Kliendi vara hoidmise juhendi tõlgendamisest</w:t>
      </w:r>
    </w:p>
    <w:p w14:paraId="05E758BD" w14:textId="77777777" w:rsidR="00D90398" w:rsidRPr="004542DA" w:rsidRDefault="00D90398" w:rsidP="006815FE">
      <w:pPr>
        <w:jc w:val="both"/>
        <w:rPr>
          <w:b/>
          <w:bCs/>
          <w:color w:val="000000"/>
        </w:rPr>
      </w:pPr>
    </w:p>
    <w:p w14:paraId="6E60BABA" w14:textId="77777777" w:rsidR="005962FE" w:rsidRDefault="006815FE" w:rsidP="006815FE">
      <w:pPr>
        <w:autoSpaceDE w:val="0"/>
        <w:autoSpaceDN w:val="0"/>
        <w:jc w:val="both"/>
        <w:rPr>
          <w:color w:val="000000"/>
          <w:lang w:eastAsia="en-US"/>
        </w:rPr>
      </w:pPr>
      <w:r w:rsidRPr="004542DA">
        <w:rPr>
          <w:color w:val="000000"/>
          <w:lang w:eastAsia="en-US"/>
        </w:rPr>
        <w:t xml:space="preserve">Vandeadvokaat </w:t>
      </w:r>
      <w:r w:rsidR="00D90398">
        <w:rPr>
          <w:color w:val="000000"/>
          <w:lang w:eastAsia="en-US"/>
        </w:rPr>
        <w:t>A</w:t>
      </w:r>
      <w:r w:rsidRPr="004542DA">
        <w:rPr>
          <w:color w:val="000000"/>
          <w:lang w:eastAsia="en-US"/>
        </w:rPr>
        <w:t xml:space="preserve"> </w:t>
      </w:r>
      <w:r w:rsidR="00D90398">
        <w:rPr>
          <w:color w:val="000000"/>
          <w:lang w:eastAsia="en-US"/>
        </w:rPr>
        <w:t xml:space="preserve">ja B </w:t>
      </w:r>
      <w:r w:rsidRPr="004542DA">
        <w:rPr>
          <w:color w:val="000000"/>
          <w:lang w:eastAsia="en-US"/>
        </w:rPr>
        <w:t xml:space="preserve">on pöördunud advokatuuri poole palumaks juhatuse seisukohta </w:t>
      </w:r>
      <w:r>
        <w:rPr>
          <w:color w:val="000000"/>
          <w:lang w:eastAsia="en-US"/>
        </w:rPr>
        <w:t xml:space="preserve">kliendi vara hoidmise juhendi </w:t>
      </w:r>
      <w:r w:rsidRPr="004542DA">
        <w:rPr>
          <w:color w:val="000000"/>
          <w:lang w:eastAsia="en-US"/>
        </w:rPr>
        <w:t>tõlgendamiseks ja ühtse praktika kujundamiseks.</w:t>
      </w:r>
      <w:r>
        <w:rPr>
          <w:color w:val="000000"/>
          <w:lang w:eastAsia="en-US"/>
        </w:rPr>
        <w:t xml:space="preserve"> </w:t>
      </w:r>
    </w:p>
    <w:p w14:paraId="5F9BB621" w14:textId="77777777" w:rsidR="005962FE" w:rsidRDefault="005962FE" w:rsidP="006815FE">
      <w:pPr>
        <w:autoSpaceDE w:val="0"/>
        <w:autoSpaceDN w:val="0"/>
        <w:jc w:val="both"/>
        <w:rPr>
          <w:color w:val="000000"/>
          <w:lang w:eastAsia="en-US"/>
        </w:rPr>
      </w:pPr>
    </w:p>
    <w:p w14:paraId="36E24FFA" w14:textId="0FE8589A" w:rsidR="006815FE" w:rsidRPr="004542DA" w:rsidRDefault="006815FE" w:rsidP="006815FE">
      <w:pPr>
        <w:autoSpaceDE w:val="0"/>
        <w:autoSpaceDN w:val="0"/>
        <w:jc w:val="both"/>
        <w:rPr>
          <w:color w:val="000000"/>
          <w:lang w:eastAsia="en-US"/>
        </w:rPr>
      </w:pPr>
      <w:r>
        <w:rPr>
          <w:color w:val="000000"/>
          <w:lang w:eastAsia="en-US"/>
        </w:rPr>
        <w:t>V</w:t>
      </w:r>
      <w:r w:rsidRPr="004542DA">
        <w:rPr>
          <w:color w:val="000000"/>
          <w:lang w:eastAsia="en-US"/>
        </w:rPr>
        <w:t>andeadvokaat</w:t>
      </w:r>
      <w:r>
        <w:rPr>
          <w:color w:val="000000"/>
          <w:lang w:eastAsia="en-US"/>
        </w:rPr>
        <w:t xml:space="preserve"> </w:t>
      </w:r>
      <w:r w:rsidR="00D90398">
        <w:rPr>
          <w:color w:val="000000"/>
          <w:lang w:eastAsia="en-US"/>
        </w:rPr>
        <w:t xml:space="preserve">A </w:t>
      </w:r>
      <w:r>
        <w:rPr>
          <w:color w:val="000000"/>
          <w:lang w:eastAsia="en-US"/>
        </w:rPr>
        <w:t>palub</w:t>
      </w:r>
      <w:r w:rsidRPr="004542DA">
        <w:rPr>
          <w:color w:val="000000"/>
          <w:lang w:eastAsia="en-US"/>
        </w:rPr>
        <w:t xml:space="preserve"> juhatuse seisukohta järgnevates küsimustes:</w:t>
      </w:r>
    </w:p>
    <w:p w14:paraId="23230AEE" w14:textId="77777777" w:rsidR="006815FE" w:rsidRPr="004542DA" w:rsidRDefault="006815FE" w:rsidP="006815FE">
      <w:pPr>
        <w:autoSpaceDE w:val="0"/>
        <w:autoSpaceDN w:val="0"/>
        <w:jc w:val="both"/>
        <w:rPr>
          <w:color w:val="000000"/>
          <w:lang w:eastAsia="en-US"/>
        </w:rPr>
      </w:pPr>
      <w:r w:rsidRPr="004542DA">
        <w:rPr>
          <w:color w:val="000000"/>
          <w:lang w:eastAsia="en-US"/>
        </w:rPr>
        <w:t>1. Kas advokaadibürool on kohustus keelduda advokaadibüroo kliendikonto kasutamise võimaldamisest, kui selle kasutamise eesmärgina on põhjust eeldada kliendipoolset kohtulahendi täitmisest kõrvalehoidumist?</w:t>
      </w:r>
    </w:p>
    <w:p w14:paraId="12670F86" w14:textId="77777777" w:rsidR="006815FE" w:rsidRPr="004542DA" w:rsidRDefault="006815FE" w:rsidP="006815FE">
      <w:pPr>
        <w:autoSpaceDE w:val="0"/>
        <w:autoSpaceDN w:val="0"/>
        <w:jc w:val="both"/>
        <w:rPr>
          <w:color w:val="000000"/>
          <w:lang w:eastAsia="en-US"/>
        </w:rPr>
      </w:pPr>
      <w:r w:rsidRPr="004542DA">
        <w:rPr>
          <w:color w:val="000000"/>
          <w:lang w:eastAsia="en-US"/>
        </w:rPr>
        <w:t>2. Kas advokaadibürool on õigus keelduda kohtutäituri poolt esitatud nõude arestimisakti täitmisest, kui arestimisaktiga on sissenõue pööratud advokaadibüroo kliendikontol hoitavatele kliendi rahalistele vahenditele?</w:t>
      </w:r>
    </w:p>
    <w:p w14:paraId="0AF4E577" w14:textId="77777777" w:rsidR="006815FE" w:rsidRPr="004542DA" w:rsidRDefault="006815FE" w:rsidP="006815FE">
      <w:pPr>
        <w:autoSpaceDE w:val="0"/>
        <w:autoSpaceDN w:val="0"/>
        <w:jc w:val="both"/>
        <w:rPr>
          <w:color w:val="000000"/>
          <w:lang w:eastAsia="en-US"/>
        </w:rPr>
      </w:pPr>
    </w:p>
    <w:p w14:paraId="7013CE62" w14:textId="4DC44DD9" w:rsidR="006815FE" w:rsidRPr="004542DA" w:rsidRDefault="006815FE" w:rsidP="006815FE">
      <w:pPr>
        <w:autoSpaceDE w:val="0"/>
        <w:autoSpaceDN w:val="0"/>
        <w:jc w:val="both"/>
        <w:rPr>
          <w:color w:val="000000"/>
          <w:lang w:eastAsia="en-US"/>
        </w:rPr>
      </w:pPr>
      <w:r w:rsidRPr="004542DA">
        <w:rPr>
          <w:color w:val="000000"/>
          <w:lang w:eastAsia="en-US"/>
        </w:rPr>
        <w:t xml:space="preserve">Vandeadvokaat </w:t>
      </w:r>
      <w:r w:rsidR="00D90398">
        <w:rPr>
          <w:color w:val="000000"/>
          <w:lang w:eastAsia="en-US"/>
        </w:rPr>
        <w:t>B</w:t>
      </w:r>
      <w:r>
        <w:rPr>
          <w:color w:val="000000"/>
          <w:lang w:eastAsia="en-US"/>
        </w:rPr>
        <w:t xml:space="preserve"> palub</w:t>
      </w:r>
      <w:r w:rsidRPr="004542DA">
        <w:rPr>
          <w:color w:val="000000"/>
          <w:lang w:eastAsia="en-US"/>
        </w:rPr>
        <w:t xml:space="preserve"> omakorda juhatuse seisukohta kliendi vara hoidmise juhendi § 3 lg 1 tõlgendamisel, st kas advokaadil on õigus anda kliendi vara üle kolmandale isikule ilma kliendi nõusolekuta.</w:t>
      </w:r>
    </w:p>
    <w:p w14:paraId="42E182BB" w14:textId="77777777" w:rsidR="006815FE" w:rsidRPr="004542DA" w:rsidRDefault="006815FE" w:rsidP="006815FE">
      <w:pPr>
        <w:autoSpaceDE w:val="0"/>
        <w:autoSpaceDN w:val="0"/>
        <w:jc w:val="both"/>
        <w:rPr>
          <w:color w:val="000000"/>
          <w:lang w:eastAsia="en-US"/>
        </w:rPr>
      </w:pPr>
    </w:p>
    <w:p w14:paraId="606126F5" w14:textId="3FB994F2" w:rsidR="006815FE" w:rsidRPr="007661DC" w:rsidRDefault="006815FE" w:rsidP="006815FE">
      <w:pPr>
        <w:autoSpaceDE w:val="0"/>
        <w:autoSpaceDN w:val="0"/>
        <w:jc w:val="both"/>
        <w:rPr>
          <w:iCs/>
          <w:color w:val="000000"/>
          <w:lang w:eastAsia="en-US"/>
        </w:rPr>
      </w:pPr>
      <w:r w:rsidRPr="007661DC">
        <w:rPr>
          <w:iCs/>
          <w:color w:val="000000"/>
          <w:lang w:eastAsia="en-US"/>
        </w:rPr>
        <w:t>Vastuseks esitatud küsimustele peab juhatus vajalikuks selgitada, et kliendi vara hoidmise juhendi § 1 lg</w:t>
      </w:r>
      <w:r w:rsidR="00D90398">
        <w:rPr>
          <w:iCs/>
          <w:color w:val="000000"/>
          <w:lang w:eastAsia="en-US"/>
        </w:rPr>
        <w:t>-st</w:t>
      </w:r>
      <w:r w:rsidRPr="007661DC">
        <w:rPr>
          <w:iCs/>
          <w:color w:val="000000"/>
          <w:lang w:eastAsia="en-US"/>
        </w:rPr>
        <w:t xml:space="preserve"> 3 tuleneb, et advokaat ei võta vastu vara, kui on ilmne, et selle eesmärgiks on seadusega vastuolus oleva huvi kaitse. Samuti ei sõlmi advokaat enda nimel ja arvel kliendi huvides või ülesandel tehinguid, sh vara või õiguste omandamiseks, kui selle eesmärgiks on rahapesu või terrorismi rahastamine, tegeliku kasusaaja omaniku varjamine, järelevalve-, maksu-, aruande- jms kohustustest kõrvalehoidmine või muu seadusega vastuolus olev eesmärk. Vastasel korral peab advokaat arvestama, et nimetatud tegevusele ei pruugi laieneda kutsetegevusele seadusega ettenähtud tagatised. Seega on advokaadibüroo kohustatud keelduma advokaadibüroo kliendikonto kasutamise võimaldamisest, kui selle kasutamise eesmärgi</w:t>
      </w:r>
      <w:r>
        <w:rPr>
          <w:iCs/>
          <w:color w:val="000000"/>
          <w:lang w:eastAsia="en-US"/>
        </w:rPr>
        <w:t>na</w:t>
      </w:r>
      <w:r w:rsidRPr="007661DC">
        <w:rPr>
          <w:iCs/>
          <w:color w:val="000000"/>
          <w:lang w:eastAsia="en-US"/>
        </w:rPr>
        <w:t xml:space="preserve"> on põhjust eeldada kliendipoolset kohtulahendi täitmisest kõrvalehoidumist. Eeltoodust tulenevalt on vandeadvokaat kohustatud keelduma advokaadibüroo kliendikonto kasutamise võimaldamisest, kui selle kasutamise eesmärgina on põhjust eeldada kliendipoolset kohtulahendi täitmisest kõrvalehoidumist.</w:t>
      </w:r>
    </w:p>
    <w:p w14:paraId="0A207BD8" w14:textId="77777777" w:rsidR="006815FE" w:rsidRPr="004542DA" w:rsidRDefault="006815FE" w:rsidP="006815FE">
      <w:pPr>
        <w:autoSpaceDE w:val="0"/>
        <w:autoSpaceDN w:val="0"/>
        <w:jc w:val="both"/>
        <w:rPr>
          <w:i/>
          <w:iCs/>
          <w:color w:val="000000"/>
          <w:lang w:eastAsia="en-US"/>
        </w:rPr>
      </w:pPr>
    </w:p>
    <w:p w14:paraId="1B3BC418" w14:textId="77777777" w:rsidR="006815FE" w:rsidRPr="007661DC" w:rsidRDefault="006815FE" w:rsidP="006815FE">
      <w:pPr>
        <w:autoSpaceDE w:val="0"/>
        <w:autoSpaceDN w:val="0"/>
        <w:jc w:val="both"/>
        <w:rPr>
          <w:iCs/>
          <w:color w:val="000000"/>
          <w:lang w:eastAsia="en-US"/>
        </w:rPr>
      </w:pPr>
      <w:r w:rsidRPr="007661DC">
        <w:rPr>
          <w:iCs/>
          <w:color w:val="000000"/>
          <w:lang w:eastAsia="en-US"/>
        </w:rPr>
        <w:t xml:space="preserve">Kliendi vara hoidmise juhendi § 3 lg 1 kohaselt tohib advokaat </w:t>
      </w:r>
      <w:r w:rsidRPr="007F3962">
        <w:rPr>
          <w:iCs/>
          <w:color w:val="000000"/>
          <w:lang w:eastAsia="en-US"/>
        </w:rPr>
        <w:t>kasutada kliendi vara vaid kliendile või kliendi nimel ja ülesandel</w:t>
      </w:r>
      <w:r>
        <w:rPr>
          <w:iCs/>
          <w:color w:val="000000"/>
          <w:lang w:eastAsia="en-US"/>
        </w:rPr>
        <w:t xml:space="preserve"> </w:t>
      </w:r>
      <w:r w:rsidRPr="007F3962">
        <w:rPr>
          <w:iCs/>
          <w:color w:val="000000"/>
          <w:lang w:eastAsia="en-US"/>
        </w:rPr>
        <w:t>kolmandale isikule eda</w:t>
      </w:r>
      <w:r>
        <w:rPr>
          <w:iCs/>
          <w:color w:val="000000"/>
          <w:lang w:eastAsia="en-US"/>
        </w:rPr>
        <w:t>stamiseks. Advokaadi tagatised on kehtestatud klientide ja avalikkuse huvide kaitseks ning üldjuhul ei saa advokaadil kliendi vara hoidmisel olla rohkem õigusi kui on kliendil. Kui kohtutäituril on õigus arestida kliendi vara, siis on tal õigus arestida kliendi vara olenemata kus see ka ei asu. J</w:t>
      </w:r>
      <w:r w:rsidRPr="007661DC">
        <w:rPr>
          <w:iCs/>
          <w:color w:val="000000"/>
          <w:lang w:eastAsia="en-US"/>
        </w:rPr>
        <w:t>uhend</w:t>
      </w:r>
      <w:r>
        <w:rPr>
          <w:iCs/>
          <w:color w:val="000000"/>
          <w:lang w:eastAsia="en-US"/>
        </w:rPr>
        <w:t xml:space="preserve"> ega kutsesaladuse hoidmise kohustus</w:t>
      </w:r>
      <w:r w:rsidRPr="007661DC">
        <w:rPr>
          <w:iCs/>
          <w:color w:val="000000"/>
          <w:lang w:eastAsia="en-US"/>
        </w:rPr>
        <w:t xml:space="preserve"> ei </w:t>
      </w:r>
      <w:r>
        <w:rPr>
          <w:iCs/>
          <w:color w:val="000000"/>
          <w:lang w:eastAsia="en-US"/>
        </w:rPr>
        <w:t>anna</w:t>
      </w:r>
      <w:r w:rsidRPr="007661DC">
        <w:rPr>
          <w:iCs/>
          <w:color w:val="000000"/>
          <w:lang w:eastAsia="en-US"/>
        </w:rPr>
        <w:t xml:space="preserve"> </w:t>
      </w:r>
      <w:r>
        <w:rPr>
          <w:iCs/>
          <w:color w:val="000000"/>
          <w:lang w:eastAsia="en-US"/>
        </w:rPr>
        <w:t xml:space="preserve">seetõttu </w:t>
      </w:r>
      <w:r w:rsidRPr="007661DC">
        <w:rPr>
          <w:iCs/>
          <w:color w:val="000000"/>
          <w:lang w:eastAsia="en-US"/>
        </w:rPr>
        <w:t>advokaadibürool</w:t>
      </w:r>
      <w:r>
        <w:rPr>
          <w:iCs/>
          <w:color w:val="000000"/>
          <w:lang w:eastAsia="en-US"/>
        </w:rPr>
        <w:t>e</w:t>
      </w:r>
      <w:r w:rsidRPr="007661DC">
        <w:rPr>
          <w:iCs/>
          <w:color w:val="000000"/>
          <w:lang w:eastAsia="en-US"/>
        </w:rPr>
        <w:t xml:space="preserve"> </w:t>
      </w:r>
      <w:r>
        <w:rPr>
          <w:iCs/>
          <w:color w:val="000000"/>
          <w:lang w:eastAsia="en-US"/>
        </w:rPr>
        <w:t>alust</w:t>
      </w:r>
      <w:r w:rsidRPr="007661DC">
        <w:rPr>
          <w:iCs/>
          <w:color w:val="000000"/>
          <w:lang w:eastAsia="en-US"/>
        </w:rPr>
        <w:t xml:space="preserve"> keelduda kohtutäituri poolt esitatud nõude arestimisakti täitmisest</w:t>
      </w:r>
      <w:r>
        <w:rPr>
          <w:iCs/>
          <w:color w:val="000000"/>
          <w:lang w:eastAsia="en-US"/>
        </w:rPr>
        <w:t xml:space="preserve"> ning arestimisakti täitmine ei eelda kliendilt nõusoleku saamist</w:t>
      </w:r>
      <w:r w:rsidRPr="007661DC">
        <w:rPr>
          <w:iCs/>
          <w:color w:val="000000"/>
          <w:lang w:eastAsia="en-US"/>
        </w:rPr>
        <w:t xml:space="preserve">. </w:t>
      </w:r>
    </w:p>
    <w:p w14:paraId="5EDE9027" w14:textId="77777777" w:rsidR="006815FE" w:rsidRPr="004542DA" w:rsidRDefault="006815FE" w:rsidP="006815FE">
      <w:pPr>
        <w:rPr>
          <w:rFonts w:ascii="Calibri" w:hAnsi="Calibri"/>
          <w:sz w:val="22"/>
          <w:szCs w:val="22"/>
        </w:rPr>
      </w:pPr>
    </w:p>
    <w:p w14:paraId="1B4D144B" w14:textId="77777777" w:rsidR="006815FE" w:rsidRPr="004542DA" w:rsidRDefault="006815FE" w:rsidP="006815FE">
      <w:pPr>
        <w:jc w:val="both"/>
        <w:rPr>
          <w:color w:val="000000"/>
        </w:rPr>
      </w:pPr>
    </w:p>
    <w:p w14:paraId="771038D7" w14:textId="77777777" w:rsidR="006815FE" w:rsidRPr="004542DA" w:rsidRDefault="006815FE" w:rsidP="006815FE">
      <w:pPr>
        <w:jc w:val="both"/>
        <w:rPr>
          <w:color w:val="000000"/>
        </w:rPr>
      </w:pPr>
      <w:r w:rsidRPr="004542DA">
        <w:rPr>
          <w:color w:val="000000"/>
        </w:rPr>
        <w:t>Juhatus</w:t>
      </w:r>
    </w:p>
    <w:p w14:paraId="446187C4" w14:textId="77777777" w:rsidR="006815FE" w:rsidRPr="004542DA" w:rsidRDefault="006815FE" w:rsidP="006815FE">
      <w:pPr>
        <w:jc w:val="both"/>
        <w:rPr>
          <w:color w:val="000000"/>
        </w:rPr>
      </w:pPr>
    </w:p>
    <w:p w14:paraId="6CA24730" w14:textId="77777777" w:rsidR="006815FE" w:rsidRDefault="006815FE" w:rsidP="006815FE">
      <w:pPr>
        <w:jc w:val="both"/>
        <w:rPr>
          <w:b/>
          <w:bCs/>
          <w:color w:val="000000"/>
        </w:rPr>
      </w:pPr>
      <w:r w:rsidRPr="004542DA">
        <w:rPr>
          <w:b/>
          <w:bCs/>
          <w:color w:val="000000"/>
        </w:rPr>
        <w:t>O T S U S T A S:</w:t>
      </w:r>
    </w:p>
    <w:p w14:paraId="2891E63D" w14:textId="77777777" w:rsidR="006815FE" w:rsidRDefault="006815FE" w:rsidP="006815FE">
      <w:pPr>
        <w:jc w:val="both"/>
        <w:rPr>
          <w:b/>
          <w:bCs/>
          <w:color w:val="000000"/>
        </w:rPr>
      </w:pPr>
    </w:p>
    <w:p w14:paraId="003A77EC" w14:textId="3FAE290B" w:rsidR="006815FE" w:rsidRPr="004542DA" w:rsidRDefault="006815FE" w:rsidP="006815FE">
      <w:pPr>
        <w:jc w:val="both"/>
        <w:rPr>
          <w:b/>
          <w:bCs/>
          <w:color w:val="000000"/>
        </w:rPr>
      </w:pPr>
      <w:r>
        <w:rPr>
          <w:b/>
          <w:bCs/>
          <w:color w:val="000000"/>
        </w:rPr>
        <w:t>Teavitada eeltoodud seisukohas vandeadvokaat</w:t>
      </w:r>
      <w:r w:rsidR="00D90398">
        <w:rPr>
          <w:b/>
          <w:bCs/>
          <w:color w:val="000000"/>
        </w:rPr>
        <w:t>e.</w:t>
      </w:r>
    </w:p>
    <w:p w14:paraId="5E175054" w14:textId="77777777" w:rsidR="00602534" w:rsidRDefault="00602534"/>
    <w:sectPr w:rsidR="00602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B1EF" w14:textId="77777777" w:rsidR="006815FE" w:rsidRDefault="006815FE" w:rsidP="006815FE">
      <w:r>
        <w:separator/>
      </w:r>
    </w:p>
  </w:endnote>
  <w:endnote w:type="continuationSeparator" w:id="0">
    <w:p w14:paraId="4CFB406C" w14:textId="77777777" w:rsidR="006815FE" w:rsidRDefault="006815FE" w:rsidP="0068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9E2E" w14:textId="77777777" w:rsidR="006815FE" w:rsidRDefault="006815FE" w:rsidP="006815FE">
      <w:r>
        <w:separator/>
      </w:r>
    </w:p>
  </w:footnote>
  <w:footnote w:type="continuationSeparator" w:id="0">
    <w:p w14:paraId="703B0AF9" w14:textId="77777777" w:rsidR="006815FE" w:rsidRDefault="006815FE" w:rsidP="00681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FE"/>
    <w:rsid w:val="005962FE"/>
    <w:rsid w:val="00602534"/>
    <w:rsid w:val="006815FE"/>
    <w:rsid w:val="00D9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8D58"/>
  <w15:chartTrackingRefBased/>
  <w15:docId w15:val="{5588193B-9499-4BA4-9A51-15DD2DF3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815FE"/>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6815FE"/>
    <w:pPr>
      <w:tabs>
        <w:tab w:val="center" w:pos="4680"/>
        <w:tab w:val="right" w:pos="9360"/>
      </w:tabs>
    </w:pPr>
  </w:style>
  <w:style w:type="character" w:customStyle="1" w:styleId="PisMrk">
    <w:name w:val="Päis Märk"/>
    <w:basedOn w:val="Liguvaikefont"/>
    <w:link w:val="Pis"/>
    <w:uiPriority w:val="99"/>
    <w:rsid w:val="006815FE"/>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6815FE"/>
    <w:pPr>
      <w:tabs>
        <w:tab w:val="center" w:pos="4680"/>
        <w:tab w:val="right" w:pos="9360"/>
      </w:tabs>
    </w:pPr>
  </w:style>
  <w:style w:type="character" w:customStyle="1" w:styleId="JalusMrk">
    <w:name w:val="Jalus Märk"/>
    <w:basedOn w:val="Liguvaikefont"/>
    <w:link w:val="Jalus"/>
    <w:uiPriority w:val="99"/>
    <w:rsid w:val="006815FE"/>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2420</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3</cp:revision>
  <dcterms:created xsi:type="dcterms:W3CDTF">2019-04-08T07:07:00Z</dcterms:created>
  <dcterms:modified xsi:type="dcterms:W3CDTF">2023-10-03T09:31:00Z</dcterms:modified>
</cp:coreProperties>
</file>