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2C51" w14:textId="77777777" w:rsidR="00D45C20" w:rsidRPr="00BC1CDA" w:rsidRDefault="00D45C20" w:rsidP="00D45C20">
      <w:pPr>
        <w:rPr>
          <w:color w:val="000000" w:themeColor="text1"/>
        </w:rPr>
      </w:pPr>
      <w:r w:rsidRPr="00BC1CDA">
        <w:rPr>
          <w:b w:val="0"/>
          <w:bCs/>
          <w:color w:val="000000" w:themeColor="text1"/>
        </w:rPr>
        <w:t>EESTI ADVOKATUURI JUHATUS</w:t>
      </w:r>
    </w:p>
    <w:p w14:paraId="1016EBDB" w14:textId="77777777" w:rsidR="00D45C20" w:rsidRPr="00BC1CDA" w:rsidRDefault="00D45C20" w:rsidP="00D45C20">
      <w:pPr>
        <w:jc w:val="both"/>
        <w:rPr>
          <w:b w:val="0"/>
          <w:bCs/>
          <w:color w:val="000000" w:themeColor="text1"/>
        </w:rPr>
      </w:pPr>
      <w:r w:rsidRPr="00BC1CDA">
        <w:rPr>
          <w:b w:val="0"/>
          <w:bCs/>
          <w:color w:val="000000" w:themeColor="text1"/>
        </w:rPr>
        <w:t>ISTUNGI PROTOKOLL</w:t>
      </w:r>
    </w:p>
    <w:p w14:paraId="5A62EE86" w14:textId="77777777" w:rsidR="00D45C20" w:rsidRPr="00BC1CDA" w:rsidRDefault="00D45C20" w:rsidP="00D45C20">
      <w:pPr>
        <w:jc w:val="both"/>
        <w:rPr>
          <w:b w:val="0"/>
          <w:bCs/>
          <w:color w:val="000000" w:themeColor="text1"/>
        </w:rPr>
      </w:pPr>
      <w:r w:rsidRPr="00BC1CDA">
        <w:rPr>
          <w:b w:val="0"/>
          <w:bCs/>
          <w:color w:val="000000" w:themeColor="text1"/>
        </w:rPr>
        <w:t xml:space="preserve">11. </w:t>
      </w:r>
      <w:r>
        <w:rPr>
          <w:b w:val="0"/>
          <w:bCs/>
          <w:color w:val="000000" w:themeColor="text1"/>
        </w:rPr>
        <w:t>detsember</w:t>
      </w:r>
      <w:r w:rsidRPr="00BC1CDA">
        <w:rPr>
          <w:b w:val="0"/>
          <w:bCs/>
          <w:color w:val="000000" w:themeColor="text1"/>
        </w:rPr>
        <w:t xml:space="preserve"> 2018. a nr 25</w:t>
      </w:r>
    </w:p>
    <w:p w14:paraId="20656CD7" w14:textId="77777777" w:rsidR="00D45C20" w:rsidRPr="00BC1CDA" w:rsidRDefault="00D45C20" w:rsidP="00D45C20">
      <w:pPr>
        <w:jc w:val="both"/>
        <w:rPr>
          <w:b w:val="0"/>
          <w:bCs/>
          <w:color w:val="000000" w:themeColor="text1"/>
        </w:rPr>
      </w:pPr>
      <w:r w:rsidRPr="00BC1CDA">
        <w:rPr>
          <w:b w:val="0"/>
          <w:bCs/>
          <w:color w:val="000000" w:themeColor="text1"/>
        </w:rPr>
        <w:t>Tallinn</w:t>
      </w:r>
    </w:p>
    <w:p w14:paraId="6E0D25A1" w14:textId="77777777" w:rsidR="00F7160E" w:rsidRDefault="00F7160E"/>
    <w:p w14:paraId="68B29271" w14:textId="77777777" w:rsidR="007D1CE9" w:rsidRDefault="007D1CE9" w:rsidP="00B074DA">
      <w:pPr>
        <w:jc w:val="both"/>
        <w:rPr>
          <w:bCs/>
          <w:color w:val="000000"/>
        </w:rPr>
      </w:pPr>
    </w:p>
    <w:p w14:paraId="5C4CDCDB" w14:textId="77777777" w:rsidR="007D1CE9" w:rsidRDefault="007D1CE9" w:rsidP="00B074DA">
      <w:pPr>
        <w:jc w:val="both"/>
        <w:rPr>
          <w:bCs/>
          <w:color w:val="000000"/>
        </w:rPr>
      </w:pPr>
    </w:p>
    <w:p w14:paraId="0969942B" w14:textId="5854DDD5" w:rsidR="00B074DA" w:rsidRPr="00BC1CDA" w:rsidRDefault="007D1CE9" w:rsidP="00B074DA">
      <w:pPr>
        <w:jc w:val="both"/>
        <w:rPr>
          <w:bCs/>
          <w:color w:val="000000"/>
        </w:rPr>
      </w:pPr>
      <w:r>
        <w:rPr>
          <w:bCs/>
          <w:color w:val="000000"/>
        </w:rPr>
        <w:t>Kohtuistungi helisalvestise tutvustamine kaitsealusele</w:t>
      </w:r>
    </w:p>
    <w:p w14:paraId="3265E0B5" w14:textId="77777777" w:rsidR="00B074DA" w:rsidRPr="00BC1CDA" w:rsidRDefault="00B074DA" w:rsidP="00B074DA">
      <w:pPr>
        <w:jc w:val="both"/>
        <w:rPr>
          <w:bCs/>
          <w:color w:val="000000"/>
        </w:rPr>
      </w:pPr>
    </w:p>
    <w:p w14:paraId="096A443E" w14:textId="77777777" w:rsidR="00B074DA" w:rsidRPr="00BC1CDA" w:rsidRDefault="00B074DA" w:rsidP="00B074DA">
      <w:pPr>
        <w:jc w:val="both"/>
        <w:rPr>
          <w:rFonts w:eastAsia="Calibri"/>
          <w:b w:val="0"/>
          <w:lang w:eastAsia="en-US"/>
        </w:rPr>
      </w:pPr>
      <w:r w:rsidRPr="00BC1CDA">
        <w:rPr>
          <w:rFonts w:eastAsia="Calibri"/>
          <w:b w:val="0"/>
          <w:lang w:eastAsia="en-US"/>
        </w:rPr>
        <w:t>Advokaat palub juhatuse seisukohta küsimuses, kas kaitsja peab tutvustama kaitsealusele ka kohtuistungi helisalvestisi. Vangla nõuab kohtuistungi helisalvestiste tutvustamist kaitsja vahendusel, kuna vangla kodukorra kohaselt on kinnipeetavatele andmekandjad ja selle lugejad keelatud.  Advokaat soovib teada, kas riigi õigusabi korras määratud kaitsjad saavad selle eest ka tasu.</w:t>
      </w:r>
    </w:p>
    <w:p w14:paraId="4CC8B2BF" w14:textId="77777777" w:rsidR="00B074DA" w:rsidRPr="00BC1CDA" w:rsidRDefault="00B074DA" w:rsidP="00B074DA">
      <w:pPr>
        <w:autoSpaceDE w:val="0"/>
        <w:autoSpaceDN w:val="0"/>
        <w:jc w:val="both"/>
        <w:rPr>
          <w:rFonts w:eastAsia="Calibri"/>
          <w:bCs/>
          <w:color w:val="000000"/>
          <w:lang w:eastAsia="en-US"/>
        </w:rPr>
      </w:pPr>
    </w:p>
    <w:p w14:paraId="4A7E3A61" w14:textId="77777777" w:rsidR="00B074DA" w:rsidRPr="00BC1CDA" w:rsidRDefault="00B074DA" w:rsidP="00B074DA">
      <w:pPr>
        <w:autoSpaceDE w:val="0"/>
        <w:autoSpaceDN w:val="0"/>
        <w:jc w:val="both"/>
        <w:rPr>
          <w:rFonts w:eastAsia="Calibri"/>
          <w:bCs/>
          <w:color w:val="000000"/>
          <w:lang w:eastAsia="en-US"/>
        </w:rPr>
      </w:pPr>
      <w:r w:rsidRPr="00BC1CDA">
        <w:rPr>
          <w:rFonts w:eastAsia="Calibri"/>
          <w:b w:val="0"/>
          <w:lang w:eastAsia="en-US"/>
        </w:rPr>
        <w:t>Juhatus on 02.05.2018 asunud seisukohale, et kaitsealusel peab olema võimalus kohtuistungi protokolli saamiseks kohtust ka iseseisvalt. Eeltoodu ei vabasta kaitsjat kaitsealusele protokolli tutvustamisest, kui klient seda soovib. Kui klient pöördub protokolli saamiseks kaitsja poole, on protokolli tutvustamine kaitsja kohustus</w:t>
      </w:r>
      <w:r>
        <w:rPr>
          <w:rFonts w:eastAsia="Calibri"/>
          <w:b w:val="0"/>
          <w:lang w:eastAsia="en-US"/>
        </w:rPr>
        <w:t>. K</w:t>
      </w:r>
      <w:r w:rsidRPr="00BC1CDA">
        <w:rPr>
          <w:rFonts w:eastAsia="Calibri"/>
          <w:b w:val="0"/>
          <w:lang w:eastAsia="en-US"/>
        </w:rPr>
        <w:t xml:space="preserve">ui </w:t>
      </w:r>
      <w:r>
        <w:rPr>
          <w:rFonts w:eastAsia="Calibri"/>
          <w:b w:val="0"/>
          <w:lang w:eastAsia="en-US"/>
        </w:rPr>
        <w:t xml:space="preserve">klient </w:t>
      </w:r>
      <w:r w:rsidRPr="00BC1CDA">
        <w:rPr>
          <w:rFonts w:eastAsia="Calibri"/>
          <w:b w:val="0"/>
          <w:lang w:eastAsia="en-US"/>
        </w:rPr>
        <w:t xml:space="preserve">taotleb </w:t>
      </w:r>
      <w:r>
        <w:rPr>
          <w:rFonts w:eastAsia="Calibri"/>
          <w:b w:val="0"/>
          <w:lang w:eastAsia="en-US"/>
        </w:rPr>
        <w:t xml:space="preserve">protokolli </w:t>
      </w:r>
      <w:r w:rsidRPr="00BC1CDA">
        <w:rPr>
          <w:rFonts w:eastAsia="Calibri"/>
          <w:b w:val="0"/>
          <w:lang w:eastAsia="en-US"/>
        </w:rPr>
        <w:t>kohtust, peab ta saama selle kohtust. Kuivõrd KrMS § 155 lg 2</w:t>
      </w:r>
      <w:r w:rsidRPr="00BC1CDA">
        <w:rPr>
          <w:rFonts w:eastAsia="Calibri"/>
          <w:b w:val="0"/>
          <w:vertAlign w:val="superscript"/>
          <w:lang w:eastAsia="en-US"/>
        </w:rPr>
        <w:t>2</w:t>
      </w:r>
      <w:r w:rsidRPr="00BC1CDA">
        <w:rPr>
          <w:rFonts w:eastAsia="Calibri"/>
          <w:b w:val="0"/>
          <w:lang w:eastAsia="en-US"/>
        </w:rPr>
        <w:t xml:space="preserve"> järgi on heli- või videosalvestis kohtuistungi protokolli lahutamatuks lisaks, kehtib eeltoodu ka helisalvestise kohta.</w:t>
      </w:r>
    </w:p>
    <w:p w14:paraId="679271C7" w14:textId="77777777" w:rsidR="00B074DA" w:rsidRPr="00BC1CDA" w:rsidRDefault="00B074DA" w:rsidP="00B074DA">
      <w:pPr>
        <w:autoSpaceDE w:val="0"/>
        <w:autoSpaceDN w:val="0"/>
        <w:jc w:val="both"/>
        <w:rPr>
          <w:rFonts w:eastAsia="Calibri"/>
          <w:bCs/>
          <w:color w:val="000000"/>
          <w:lang w:eastAsia="en-US"/>
        </w:rPr>
      </w:pPr>
    </w:p>
    <w:p w14:paraId="7823D7A0" w14:textId="77777777" w:rsidR="00B074DA" w:rsidRPr="00BC1CDA" w:rsidRDefault="00B074DA" w:rsidP="00B074DA">
      <w:pPr>
        <w:jc w:val="both"/>
        <w:rPr>
          <w:rFonts w:eastAsia="Calibri"/>
          <w:b w:val="0"/>
          <w:color w:val="000000"/>
          <w:lang w:eastAsia="en-US"/>
        </w:rPr>
      </w:pPr>
      <w:r w:rsidRPr="00BC1CDA">
        <w:rPr>
          <w:rFonts w:eastAsia="Calibri"/>
          <w:b w:val="0"/>
          <w:lang w:eastAsia="en-US"/>
        </w:rPr>
        <w:t>KrMS § 156</w:t>
      </w:r>
      <w:r w:rsidRPr="00BC1CDA">
        <w:rPr>
          <w:rFonts w:eastAsia="Calibri"/>
          <w:b w:val="0"/>
          <w:vertAlign w:val="superscript"/>
          <w:lang w:eastAsia="en-US"/>
        </w:rPr>
        <w:t>1</w:t>
      </w:r>
      <w:r w:rsidRPr="00BC1CDA">
        <w:rPr>
          <w:rFonts w:eastAsia="Calibri"/>
          <w:b w:val="0"/>
          <w:lang w:eastAsia="en-US"/>
        </w:rPr>
        <w:t xml:space="preserve"> lg 1 ja 4 järgi on kohtumenetluse pooltel õigus saada kohtuistungi helisalvestis ning koopia väljastatakse kohtu kantseleist digitaalsel andmekandjal või elektrooniliselt kolme päeva jooksul sellekohase taotluse esitamisest. </w:t>
      </w:r>
      <w:r w:rsidRPr="00BC1CDA">
        <w:rPr>
          <w:rFonts w:eastAsia="Calibri"/>
          <w:b w:val="0"/>
          <w:color w:val="000000"/>
          <w:lang w:eastAsia="en-US"/>
        </w:rPr>
        <w:t xml:space="preserve">KrMS § 17 lg 1 kohaselt on kohtumenetluse pooled prokuratuur, süüdistatav ja tema kaitsja ning kannatanu, tsiviilkostja ja kolmas isik. Seega ei ole kohtul alust helisalvestise väljastamisest keeldumiseks vanglas viibivale süüdistatavale. </w:t>
      </w:r>
      <w:r>
        <w:rPr>
          <w:rFonts w:eastAsia="Calibri"/>
          <w:b w:val="0"/>
          <w:color w:val="000000"/>
          <w:lang w:eastAsia="en-US"/>
        </w:rPr>
        <w:t>KrMS § 156</w:t>
      </w:r>
      <w:r w:rsidRPr="00A44268">
        <w:rPr>
          <w:rFonts w:eastAsia="Calibri"/>
          <w:b w:val="0"/>
          <w:color w:val="000000"/>
          <w:vertAlign w:val="superscript"/>
          <w:lang w:eastAsia="en-US"/>
        </w:rPr>
        <w:t>1</w:t>
      </w:r>
      <w:r>
        <w:rPr>
          <w:rFonts w:eastAsia="Calibri"/>
          <w:b w:val="0"/>
          <w:color w:val="000000"/>
          <w:lang w:eastAsia="en-US"/>
        </w:rPr>
        <w:t xml:space="preserve"> lg 4 mõttest tulenevalt peab süüdistataval olema võimalus ka tutvuda helisalvestisega.</w:t>
      </w:r>
    </w:p>
    <w:p w14:paraId="12140A64" w14:textId="77777777" w:rsidR="00B074DA" w:rsidRPr="00BC1CDA" w:rsidRDefault="00B074DA" w:rsidP="00B074DA">
      <w:pPr>
        <w:jc w:val="both"/>
        <w:rPr>
          <w:rFonts w:eastAsia="Calibri"/>
          <w:b w:val="0"/>
          <w:color w:val="000000"/>
          <w:lang w:eastAsia="en-US"/>
        </w:rPr>
      </w:pPr>
    </w:p>
    <w:p w14:paraId="25DF5C25" w14:textId="77777777" w:rsidR="00B074DA" w:rsidRPr="00BC1CDA" w:rsidRDefault="00B074DA" w:rsidP="00B074DA">
      <w:pPr>
        <w:jc w:val="both"/>
        <w:rPr>
          <w:rFonts w:eastAsia="Calibri"/>
          <w:b w:val="0"/>
          <w:lang w:eastAsia="en-US"/>
        </w:rPr>
      </w:pPr>
      <w:r w:rsidRPr="00BC1CDA">
        <w:rPr>
          <w:rFonts w:eastAsia="Calibri"/>
          <w:b w:val="0"/>
          <w:lang w:eastAsia="en-US"/>
        </w:rPr>
        <w:t>Eeltoodust tulenevalt peab juhatus vajaliku</w:t>
      </w:r>
      <w:r>
        <w:rPr>
          <w:rFonts w:eastAsia="Calibri"/>
          <w:b w:val="0"/>
          <w:lang w:eastAsia="en-US"/>
        </w:rPr>
        <w:t>k</w:t>
      </w:r>
      <w:r w:rsidRPr="00BC1CDA">
        <w:rPr>
          <w:rFonts w:eastAsia="Calibri"/>
          <w:b w:val="0"/>
          <w:lang w:eastAsia="en-US"/>
        </w:rPr>
        <w:t>s pöörduda Justiitsministeeriumi poole ettepanekuga tagada</w:t>
      </w:r>
      <w:r w:rsidRPr="00BC1CDA">
        <w:rPr>
          <w:rFonts w:eastAsia="Calibri"/>
          <w:bCs/>
          <w:lang w:eastAsia="en-US"/>
        </w:rPr>
        <w:t xml:space="preserve"> </w:t>
      </w:r>
      <w:r w:rsidRPr="00BC1CDA">
        <w:rPr>
          <w:rFonts w:eastAsia="Calibri"/>
          <w:b w:val="0"/>
          <w:lang w:eastAsia="en-US"/>
        </w:rPr>
        <w:t>kinnipeetavatele võimalus tutvuda kohtuistungi helisalvestistega ka ilma kaitsja vahenduseta.</w:t>
      </w:r>
    </w:p>
    <w:p w14:paraId="04DECBAA" w14:textId="77777777" w:rsidR="00B074DA" w:rsidRPr="00BC1CDA" w:rsidRDefault="00B074DA" w:rsidP="00B074DA">
      <w:pPr>
        <w:jc w:val="both"/>
        <w:rPr>
          <w:rFonts w:eastAsia="Calibri"/>
          <w:b w:val="0"/>
          <w:lang w:eastAsia="en-US"/>
        </w:rPr>
      </w:pPr>
    </w:p>
    <w:p w14:paraId="7237F286" w14:textId="77777777" w:rsidR="00B074DA" w:rsidRPr="00BC1CDA" w:rsidRDefault="00B074DA" w:rsidP="00B074DA">
      <w:pPr>
        <w:jc w:val="both"/>
        <w:rPr>
          <w:rFonts w:eastAsia="Calibri"/>
          <w:b w:val="0"/>
          <w:lang w:eastAsia="en-US"/>
        </w:rPr>
      </w:pPr>
      <w:r w:rsidRPr="00BC1CDA">
        <w:rPr>
          <w:rFonts w:eastAsia="Calibri"/>
          <w:b w:val="0"/>
          <w:lang w:eastAsia="en-US"/>
        </w:rPr>
        <w:t xml:space="preserve">Tasu helisalvestamise tutvustamise eest on võimalik taotleda riigi õigusabi tasu ja kulude määruse § 6 lg 3 alusel. Kui viidatud paragrahvis toodud tasumäär on ületatud, on võimalik määruses toodud aluste esinemisel taotleda tasu suurendamist § 2 lg 1 alusel. </w:t>
      </w:r>
    </w:p>
    <w:p w14:paraId="6760009A" w14:textId="77777777" w:rsidR="00B074DA" w:rsidRPr="00BC1CDA" w:rsidRDefault="00B074DA" w:rsidP="00B074DA">
      <w:pPr>
        <w:rPr>
          <w:rFonts w:eastAsia="Calibri"/>
          <w:b w:val="0"/>
          <w:lang w:eastAsia="en-US"/>
        </w:rPr>
      </w:pPr>
    </w:p>
    <w:p w14:paraId="690412F2" w14:textId="77777777" w:rsidR="00B074DA" w:rsidRPr="00BC1CDA" w:rsidRDefault="00B074DA" w:rsidP="00B074DA">
      <w:pPr>
        <w:rPr>
          <w:rFonts w:eastAsia="Calibri"/>
          <w:b w:val="0"/>
          <w:lang w:eastAsia="en-US"/>
        </w:rPr>
      </w:pPr>
    </w:p>
    <w:p w14:paraId="5C57C98B" w14:textId="77777777" w:rsidR="00B074DA" w:rsidRPr="00BC1CDA" w:rsidRDefault="00B074DA" w:rsidP="00B074DA">
      <w:pPr>
        <w:rPr>
          <w:rFonts w:eastAsia="Calibri"/>
          <w:b w:val="0"/>
          <w:lang w:eastAsia="en-US"/>
        </w:rPr>
      </w:pPr>
      <w:r w:rsidRPr="00BC1CDA">
        <w:rPr>
          <w:rFonts w:eastAsia="Calibri"/>
          <w:b w:val="0"/>
          <w:lang w:eastAsia="en-US"/>
        </w:rPr>
        <w:t>Juhatus</w:t>
      </w:r>
    </w:p>
    <w:p w14:paraId="2EDBCE76" w14:textId="77777777" w:rsidR="00B074DA" w:rsidRPr="00BC1CDA" w:rsidRDefault="00B074DA" w:rsidP="00B074DA">
      <w:pPr>
        <w:rPr>
          <w:rFonts w:eastAsia="Calibri"/>
          <w:b w:val="0"/>
          <w:lang w:eastAsia="en-US"/>
        </w:rPr>
      </w:pPr>
    </w:p>
    <w:p w14:paraId="418C4D19" w14:textId="77777777" w:rsidR="00B074DA" w:rsidRPr="00BC1CDA" w:rsidRDefault="00B074DA" w:rsidP="00B074DA">
      <w:pPr>
        <w:rPr>
          <w:rFonts w:eastAsia="Calibri"/>
          <w:lang w:eastAsia="en-US"/>
        </w:rPr>
      </w:pPr>
      <w:r w:rsidRPr="00BC1CDA">
        <w:rPr>
          <w:rFonts w:eastAsia="Calibri"/>
          <w:lang w:eastAsia="en-US"/>
        </w:rPr>
        <w:t>O</w:t>
      </w:r>
      <w:r w:rsidRPr="00BC1CDA">
        <w:rPr>
          <w:rFonts w:eastAsia="Calibri"/>
          <w:b w:val="0"/>
          <w:lang w:eastAsia="en-US"/>
        </w:rPr>
        <w:t xml:space="preserve"> </w:t>
      </w:r>
      <w:r w:rsidRPr="00BC1CDA">
        <w:rPr>
          <w:rFonts w:eastAsia="Calibri"/>
          <w:lang w:eastAsia="en-US"/>
        </w:rPr>
        <w:t>T S U S T A S:</w:t>
      </w:r>
    </w:p>
    <w:p w14:paraId="3E7695D1" w14:textId="77777777" w:rsidR="00B074DA" w:rsidRPr="00BC1CDA" w:rsidRDefault="00B074DA" w:rsidP="00B074DA">
      <w:pPr>
        <w:rPr>
          <w:rFonts w:eastAsia="Calibri"/>
          <w:lang w:eastAsia="en-US"/>
        </w:rPr>
      </w:pPr>
    </w:p>
    <w:p w14:paraId="665E55AE" w14:textId="77777777" w:rsidR="00B074DA" w:rsidRPr="00BC1CDA" w:rsidRDefault="00B074DA" w:rsidP="00B074DA">
      <w:pPr>
        <w:jc w:val="both"/>
        <w:rPr>
          <w:rFonts w:eastAsia="Calibri"/>
          <w:lang w:eastAsia="en-US"/>
        </w:rPr>
      </w:pPr>
      <w:r w:rsidRPr="00BC1CDA">
        <w:rPr>
          <w:rFonts w:eastAsia="Calibri"/>
          <w:lang w:eastAsia="en-US"/>
        </w:rPr>
        <w:t>Teavitada eeltoodud seisukohast advokaati ja pöörduda antud küsimuses Justiitsministeeriumi poole.</w:t>
      </w:r>
    </w:p>
    <w:p w14:paraId="4C09DD7C" w14:textId="77777777" w:rsidR="00871CC2" w:rsidRDefault="00871CC2" w:rsidP="00D9333D">
      <w:pPr>
        <w:jc w:val="both"/>
        <w:outlineLvl w:val="0"/>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6383036">
    <w:abstractNumId w:val="0"/>
  </w:num>
  <w:num w:numId="2" w16cid:durableId="208182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25331C"/>
    <w:rsid w:val="00642437"/>
    <w:rsid w:val="006E1B2C"/>
    <w:rsid w:val="007658FC"/>
    <w:rsid w:val="00796C44"/>
    <w:rsid w:val="007D1CE9"/>
    <w:rsid w:val="00871CC2"/>
    <w:rsid w:val="009300D6"/>
    <w:rsid w:val="00A12812"/>
    <w:rsid w:val="00B074DA"/>
    <w:rsid w:val="00B40BFF"/>
    <w:rsid w:val="00BA37CD"/>
    <w:rsid w:val="00CF1321"/>
    <w:rsid w:val="00D45C20"/>
    <w:rsid w:val="00D9333D"/>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2390"/>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paragraph" w:styleId="Pealkiri1">
    <w:name w:val="heading 1"/>
    <w:basedOn w:val="Normaallaad"/>
    <w:next w:val="Normaallaad"/>
    <w:link w:val="Pealkiri1Mrk"/>
    <w:qFormat/>
    <w:rsid w:val="00D9333D"/>
    <w:pPr>
      <w:keepNext/>
      <w:spacing w:before="240" w:after="60"/>
      <w:outlineLvl w:val="0"/>
    </w:pPr>
    <w:rPr>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rsid w:val="00D9333D"/>
    <w:rPr>
      <w:rFonts w:ascii="Times New Roman" w:eastAsia="Times New Roman" w:hAnsi="Times New Roman" w:cs="Times New Roman"/>
      <w:b/>
      <w:bCs/>
      <w:kern w:val="32"/>
      <w:sz w:val="24"/>
      <w:szCs w:val="32"/>
      <w:lang w:eastAsia="et-EE"/>
    </w:rPr>
  </w:style>
  <w:style w:type="paragraph" w:customStyle="1" w:styleId="Default">
    <w:name w:val="Default"/>
    <w:autoRedefine/>
    <w:rsid w:val="00D45C20"/>
    <w:pPr>
      <w:suppressAutoHyphens/>
      <w:spacing w:after="0" w:line="240" w:lineRule="auto"/>
      <w:jc w:val="both"/>
    </w:pPr>
    <w:rPr>
      <w:rFonts w:ascii="Times New Roman" w:eastAsia="ヒラギノ角ゴ Pro W3" w:hAnsi="Times New Roman" w:cs="Times New Roman"/>
      <w:b/>
      <w:color w:val="000000" w:themeColor="text1"/>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4</cp:revision>
  <dcterms:created xsi:type="dcterms:W3CDTF">2019-04-24T13:42:00Z</dcterms:created>
  <dcterms:modified xsi:type="dcterms:W3CDTF">2023-10-02T09:12:00Z</dcterms:modified>
</cp:coreProperties>
</file>