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4BDF" w14:textId="77777777" w:rsidR="003F75C0" w:rsidRPr="002C2F7C" w:rsidRDefault="003F75C0" w:rsidP="003F75C0">
      <w:pPr>
        <w:jc w:val="both"/>
        <w:rPr>
          <w:color w:val="000000"/>
        </w:rPr>
      </w:pPr>
    </w:p>
    <w:p w14:paraId="3CD0601C" w14:textId="77777777" w:rsidR="003F75C0" w:rsidRPr="002C2F7C" w:rsidRDefault="003F75C0" w:rsidP="003F75C0">
      <w:pPr>
        <w:jc w:val="both"/>
        <w:rPr>
          <w:color w:val="000000"/>
        </w:rPr>
      </w:pPr>
      <w:r w:rsidRPr="002C2F7C">
        <w:rPr>
          <w:color w:val="000000"/>
        </w:rPr>
        <w:t>EESTI ADVOKATUURI JUHATUS</w:t>
      </w:r>
    </w:p>
    <w:p w14:paraId="2103F18F" w14:textId="77777777" w:rsidR="003F75C0" w:rsidRPr="002C2F7C" w:rsidRDefault="003F75C0" w:rsidP="003F75C0">
      <w:pPr>
        <w:jc w:val="both"/>
        <w:rPr>
          <w:color w:val="000000"/>
        </w:rPr>
      </w:pPr>
      <w:r w:rsidRPr="002C2F7C">
        <w:rPr>
          <w:color w:val="000000"/>
        </w:rPr>
        <w:t>ISTUNGI PROTOKOLL</w:t>
      </w:r>
    </w:p>
    <w:p w14:paraId="2F56B731" w14:textId="77777777" w:rsidR="003F75C0" w:rsidRPr="002C2F7C" w:rsidRDefault="003F75C0" w:rsidP="003F75C0">
      <w:pPr>
        <w:jc w:val="both"/>
        <w:rPr>
          <w:color w:val="000000"/>
        </w:rPr>
      </w:pPr>
      <w:r w:rsidRPr="002C2F7C">
        <w:rPr>
          <w:color w:val="000000"/>
        </w:rPr>
        <w:t>07. veebruar 2012. a nr 3</w:t>
      </w:r>
    </w:p>
    <w:p w14:paraId="2CBEAE24" w14:textId="77777777" w:rsidR="003F75C0" w:rsidRPr="002C2F7C" w:rsidRDefault="003F75C0" w:rsidP="003F75C0">
      <w:pPr>
        <w:jc w:val="both"/>
        <w:rPr>
          <w:color w:val="000000"/>
        </w:rPr>
      </w:pPr>
      <w:r w:rsidRPr="002C2F7C">
        <w:rPr>
          <w:color w:val="000000"/>
        </w:rPr>
        <w:t>Tallinn</w:t>
      </w:r>
    </w:p>
    <w:p w14:paraId="2A2B5EAA" w14:textId="77777777" w:rsidR="000924FE" w:rsidRDefault="000924FE"/>
    <w:p w14:paraId="70891D6A" w14:textId="77777777" w:rsidR="009905BF" w:rsidRDefault="009905BF"/>
    <w:p w14:paraId="5CDB7374" w14:textId="77777777" w:rsidR="00B06820" w:rsidRDefault="00B06820"/>
    <w:p w14:paraId="69E8FEDB" w14:textId="681A0328" w:rsidR="00B06820" w:rsidRPr="002C2F7C" w:rsidRDefault="009905BF" w:rsidP="00B06820">
      <w:pPr>
        <w:jc w:val="both"/>
        <w:outlineLvl w:val="0"/>
        <w:rPr>
          <w:b/>
          <w:bCs/>
          <w:color w:val="000000"/>
        </w:rPr>
      </w:pPr>
      <w:r>
        <w:rPr>
          <w:b/>
        </w:rPr>
        <w:t>Kohtulahendi edasikaebamisest kliendi soovil</w:t>
      </w:r>
    </w:p>
    <w:p w14:paraId="2A860FF8" w14:textId="77777777" w:rsidR="00B06820" w:rsidRPr="002C2F7C" w:rsidRDefault="00B06820" w:rsidP="00B06820">
      <w:pPr>
        <w:jc w:val="both"/>
        <w:outlineLvl w:val="0"/>
        <w:rPr>
          <w:b/>
          <w:bCs/>
          <w:color w:val="000000"/>
        </w:rPr>
      </w:pPr>
    </w:p>
    <w:p w14:paraId="741F72F5" w14:textId="77777777" w:rsidR="00B06820" w:rsidRPr="002C2F7C" w:rsidRDefault="00B06820" w:rsidP="00B06820">
      <w:pPr>
        <w:jc w:val="both"/>
        <w:rPr>
          <w:rFonts w:eastAsia="Calibri"/>
          <w:lang w:eastAsia="en-US"/>
        </w:rPr>
      </w:pPr>
      <w:r w:rsidRPr="002C2F7C">
        <w:rPr>
          <w:rFonts w:eastAsia="Calibri"/>
          <w:lang w:eastAsia="en-US"/>
        </w:rPr>
        <w:t xml:space="preserve">Riigikohus edastas advokatuurile kohtumääruse, mille kohaselt jäeti vandeadvokaadi esitatud määruskaebus läbi vaatamata ja tagastati, kuivõrd see oli mittetähtaegne. </w:t>
      </w:r>
    </w:p>
    <w:p w14:paraId="758A2759" w14:textId="77777777" w:rsidR="00B06820" w:rsidRPr="002C2F7C" w:rsidRDefault="00B06820" w:rsidP="00B06820">
      <w:pPr>
        <w:jc w:val="both"/>
        <w:rPr>
          <w:rFonts w:eastAsia="Calibri"/>
          <w:lang w:eastAsia="en-US"/>
        </w:rPr>
      </w:pPr>
    </w:p>
    <w:p w14:paraId="50147565" w14:textId="77777777" w:rsidR="00B06820" w:rsidRPr="002C2F7C" w:rsidRDefault="00B06820" w:rsidP="00B06820">
      <w:pPr>
        <w:jc w:val="both"/>
        <w:rPr>
          <w:rFonts w:eastAsia="Calibri"/>
          <w:lang w:eastAsia="en-US"/>
        </w:rPr>
      </w:pPr>
      <w:r w:rsidRPr="002C2F7C">
        <w:rPr>
          <w:rFonts w:eastAsia="Calibri"/>
          <w:lang w:eastAsia="en-US"/>
        </w:rPr>
        <w:t>Advokaat selgitab, et õigusabi saaja kinnitas soovi kokkuleppe sõlmimiseks ja andis kirjaliku kinnituse edasikaebamisest loobumise kohta. Alles hiljem jõudis advokaadini ringkonnakohtu määrus, millest selgus, et õigusabi saaja oli esitanud apellatsioonkaebuse. Apellatsioonkaebus jäeti rahuldamata. Seejärel 12 päeva hiljem teavitas kohtu referent, et õigusabi saaja oli esitanud ringkonnakohtule avalduse edasikaebamise soovi kohta. Seejärel koostas advokaat samal päeval määruskaebuse ja edastas selle Riigikohtule, ehkki nagu advokaat välja toob, puudus selleks õiguslik alus, kuid advokaat lähtus kliendi huvidest ning määruskaebusesse kirjutas sisse ka kaebetähtaja ennistamise taotluse.</w:t>
      </w:r>
    </w:p>
    <w:p w14:paraId="3BE88B78" w14:textId="77777777" w:rsidR="00B06820" w:rsidRPr="002C2F7C" w:rsidRDefault="00B06820" w:rsidP="00B06820">
      <w:pPr>
        <w:jc w:val="both"/>
        <w:rPr>
          <w:rFonts w:eastAsia="Calibri"/>
          <w:lang w:eastAsia="en-US"/>
        </w:rPr>
      </w:pPr>
    </w:p>
    <w:p w14:paraId="633B4406" w14:textId="77777777" w:rsidR="00B06820" w:rsidRPr="002C2F7C" w:rsidRDefault="00B06820" w:rsidP="00B06820">
      <w:pPr>
        <w:jc w:val="both"/>
        <w:rPr>
          <w:rFonts w:eastAsia="Calibri"/>
          <w:lang w:eastAsia="en-US"/>
        </w:rPr>
      </w:pPr>
      <w:r w:rsidRPr="002C2F7C">
        <w:rPr>
          <w:rFonts w:eastAsia="Calibri"/>
          <w:lang w:eastAsia="en-US"/>
        </w:rPr>
        <w:t xml:space="preserve">Riigi õigusabi saaja, olles tutvunud ülalnimetatud kohtumäärusega, esitas Riigikohtule selgituse, milles kinnitab vandeadvokaadi väidet, et advokaat sai õigusabi saaja soovist esitada määruskaebus teada alles ringkonnakohtu e-kirjast. Õigusabi saaja selgitab, et ta sai aru, et saab iseseisvalt esitada kassatsioonkaebuse, mistõttu ei võtnud ta ka advokaadiga ühendust.  </w:t>
      </w:r>
    </w:p>
    <w:p w14:paraId="73AD7451" w14:textId="77777777" w:rsidR="00B06820" w:rsidRPr="002C2F7C" w:rsidRDefault="00B06820" w:rsidP="00B06820">
      <w:pPr>
        <w:jc w:val="both"/>
        <w:rPr>
          <w:rFonts w:eastAsia="Calibri"/>
          <w:i/>
          <w:lang w:eastAsia="en-US"/>
        </w:rPr>
      </w:pPr>
    </w:p>
    <w:p w14:paraId="605434F8" w14:textId="77777777" w:rsidR="00B06820" w:rsidRPr="002C2F7C" w:rsidRDefault="00B06820" w:rsidP="00B06820">
      <w:pPr>
        <w:jc w:val="both"/>
        <w:rPr>
          <w:rFonts w:eastAsia="Calibri"/>
          <w:lang w:eastAsia="en-US"/>
        </w:rPr>
      </w:pPr>
      <w:r w:rsidRPr="002C2F7C">
        <w:rPr>
          <w:rFonts w:eastAsia="Calibri"/>
          <w:iCs/>
          <w:color w:val="000000"/>
          <w:lang w:eastAsia="en-US"/>
        </w:rPr>
        <w:t xml:space="preserve">Juhatus on </w:t>
      </w:r>
      <w:r w:rsidRPr="002C2F7C">
        <w:rPr>
          <w:rFonts w:eastAsia="Calibri"/>
          <w:lang w:eastAsia="en-US"/>
        </w:rPr>
        <w:t xml:space="preserve">varasemalt korduvalt rõhutanud põhimõtet, mille kohaselt saab advokaat jätta kohtulahendile edasikaebuse esitamata üksnes juhul, kui selleks on kliendi kirjalikult taasesitatavas vormis sellekohane seisukoht ja advokaat ei näe perspektiive vaidlustuse esitamiseks. Juhatusele esitatud materjalidest nähtub, et kaebaja on pärast esimese astme kohtu otsust kirjalikult kinnitanud, et ei soovi otsust edasi kaevata, kuid ilmneb, et kaebaja on hiljem oma tahteavaldust muutnud. Advokaat, saades teada, et kaitsealune siiski soovib oma kaebeõigust realiseerida, on kohustatud oma kaitseülesandeid jätkama seaduses ettenähtud korras. Juhatusele ei ole esitatud kaebaja poolset kirjalikku kinnitust selle kohta, et viimane ei soovi kassatsioonkaebust esitada. Lähtudes eeltoodust võivad advokaadi tegevuses esineda minetused ning asi tuleb edastada aukohtule arutamiseks.  </w:t>
      </w:r>
    </w:p>
    <w:p w14:paraId="1980FD84" w14:textId="77777777" w:rsidR="00B06820" w:rsidRPr="002C2F7C" w:rsidRDefault="00B06820" w:rsidP="00B06820">
      <w:pPr>
        <w:jc w:val="both"/>
        <w:outlineLvl w:val="0"/>
        <w:rPr>
          <w:b/>
          <w:bCs/>
          <w:color w:val="000000"/>
        </w:rPr>
      </w:pPr>
    </w:p>
    <w:p w14:paraId="048A6841" w14:textId="77777777" w:rsidR="00B06820" w:rsidRPr="002C2F7C" w:rsidRDefault="00B06820" w:rsidP="00B06820">
      <w:pPr>
        <w:jc w:val="both"/>
        <w:outlineLvl w:val="0"/>
        <w:rPr>
          <w:b/>
          <w:bCs/>
          <w:color w:val="000000"/>
        </w:rPr>
      </w:pPr>
    </w:p>
    <w:p w14:paraId="4CCE3B09" w14:textId="77777777" w:rsidR="00B06820" w:rsidRPr="002C2F7C" w:rsidRDefault="00B06820" w:rsidP="00B06820">
      <w:pPr>
        <w:jc w:val="both"/>
        <w:outlineLvl w:val="0"/>
        <w:rPr>
          <w:bCs/>
          <w:color w:val="000000"/>
        </w:rPr>
      </w:pPr>
      <w:r w:rsidRPr="002C2F7C">
        <w:rPr>
          <w:bCs/>
          <w:color w:val="000000"/>
        </w:rPr>
        <w:t>Juhatus</w:t>
      </w:r>
    </w:p>
    <w:p w14:paraId="1EBBB5AB" w14:textId="77777777" w:rsidR="00B06820" w:rsidRPr="002C2F7C" w:rsidRDefault="00B06820" w:rsidP="00B06820">
      <w:pPr>
        <w:jc w:val="both"/>
        <w:outlineLvl w:val="0"/>
        <w:rPr>
          <w:b/>
          <w:bCs/>
          <w:color w:val="000000"/>
        </w:rPr>
      </w:pPr>
    </w:p>
    <w:p w14:paraId="22351C18" w14:textId="77777777" w:rsidR="00B06820" w:rsidRPr="002C2F7C" w:rsidRDefault="00B06820" w:rsidP="00B06820">
      <w:pPr>
        <w:jc w:val="both"/>
        <w:outlineLvl w:val="0"/>
        <w:rPr>
          <w:b/>
          <w:bCs/>
          <w:color w:val="000000"/>
        </w:rPr>
      </w:pPr>
      <w:r w:rsidRPr="002C2F7C">
        <w:rPr>
          <w:b/>
          <w:bCs/>
          <w:color w:val="000000"/>
        </w:rPr>
        <w:t>O T S U S T A S:</w:t>
      </w:r>
    </w:p>
    <w:p w14:paraId="6A837652" w14:textId="77777777" w:rsidR="00B06820" w:rsidRPr="002C2F7C" w:rsidRDefault="00B06820" w:rsidP="00B06820">
      <w:pPr>
        <w:jc w:val="both"/>
        <w:rPr>
          <w:b/>
          <w:bCs/>
          <w:i/>
          <w:color w:val="000000"/>
          <w:highlight w:val="yellow"/>
        </w:rPr>
      </w:pPr>
    </w:p>
    <w:p w14:paraId="505F0B12" w14:textId="77777777" w:rsidR="00B06820" w:rsidRPr="002C2F7C" w:rsidRDefault="00B06820" w:rsidP="00B06820">
      <w:pPr>
        <w:spacing w:after="200" w:line="276" w:lineRule="auto"/>
        <w:jc w:val="both"/>
        <w:outlineLvl w:val="0"/>
        <w:rPr>
          <w:rFonts w:eastAsia="Calibri"/>
          <w:b/>
          <w:bCs/>
          <w:color w:val="000000"/>
        </w:rPr>
      </w:pPr>
      <w:r w:rsidRPr="002C2F7C">
        <w:rPr>
          <w:rFonts w:eastAsia="Calibri"/>
          <w:b/>
          <w:bCs/>
          <w:color w:val="000000"/>
        </w:rPr>
        <w:t xml:space="preserve">Teha aukohtule ettepanek aukohtumenetluse algatamiseks vandeadvokaadi tegevuse suhtes. </w:t>
      </w:r>
    </w:p>
    <w:p w14:paraId="69387EDD" w14:textId="62F1AA25" w:rsidR="00B06820" w:rsidRDefault="00B06820"/>
    <w:sectPr w:rsidR="00B06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0B2"/>
    <w:multiLevelType w:val="multilevel"/>
    <w:tmpl w:val="ECF8A0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173115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20"/>
    <w:rsid w:val="000924FE"/>
    <w:rsid w:val="003F75C0"/>
    <w:rsid w:val="004E3CE7"/>
    <w:rsid w:val="009905BF"/>
    <w:rsid w:val="00B068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854C"/>
  <w15:chartTrackingRefBased/>
  <w15:docId w15:val="{DF975926-B99A-4C0E-9CFB-692077F2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06820"/>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4</cp:revision>
  <dcterms:created xsi:type="dcterms:W3CDTF">2019-04-16T12:38:00Z</dcterms:created>
  <dcterms:modified xsi:type="dcterms:W3CDTF">2023-10-04T12:49:00Z</dcterms:modified>
</cp:coreProperties>
</file>