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0620" w14:textId="77777777" w:rsidR="000A5D12" w:rsidRPr="00E8352A" w:rsidRDefault="000A5D12" w:rsidP="000A5D12">
      <w:pPr>
        <w:rPr>
          <w:color w:val="000000" w:themeColor="text1"/>
        </w:rPr>
      </w:pPr>
      <w:r w:rsidRPr="00E8352A">
        <w:rPr>
          <w:b w:val="0"/>
          <w:bCs/>
          <w:color w:val="000000" w:themeColor="text1"/>
        </w:rPr>
        <w:t>EESTI ADVOKATUURI JUHATUS</w:t>
      </w:r>
    </w:p>
    <w:p w14:paraId="322AE66C" w14:textId="77777777" w:rsidR="000A5D12" w:rsidRPr="00E8352A" w:rsidRDefault="000A5D12" w:rsidP="000A5D12">
      <w:pPr>
        <w:jc w:val="both"/>
        <w:rPr>
          <w:b w:val="0"/>
          <w:bCs/>
          <w:color w:val="000000" w:themeColor="text1"/>
        </w:rPr>
      </w:pPr>
      <w:r w:rsidRPr="00E8352A">
        <w:rPr>
          <w:b w:val="0"/>
          <w:bCs/>
          <w:color w:val="000000" w:themeColor="text1"/>
        </w:rPr>
        <w:t>ISTUNGI PROTOKOLL</w:t>
      </w:r>
    </w:p>
    <w:p w14:paraId="32D68D2F" w14:textId="77777777" w:rsidR="000A5D12" w:rsidRPr="00E8352A" w:rsidRDefault="000A5D12" w:rsidP="000A5D12">
      <w:pPr>
        <w:jc w:val="both"/>
        <w:rPr>
          <w:b w:val="0"/>
          <w:bCs/>
          <w:color w:val="000000" w:themeColor="text1"/>
        </w:rPr>
      </w:pPr>
      <w:r>
        <w:rPr>
          <w:b w:val="0"/>
          <w:bCs/>
          <w:color w:val="000000" w:themeColor="text1"/>
        </w:rPr>
        <w:t>2</w:t>
      </w:r>
      <w:r w:rsidRPr="00E8352A">
        <w:rPr>
          <w:b w:val="0"/>
          <w:bCs/>
          <w:color w:val="000000" w:themeColor="text1"/>
        </w:rPr>
        <w:t xml:space="preserve">. </w:t>
      </w:r>
      <w:r>
        <w:rPr>
          <w:b w:val="0"/>
          <w:bCs/>
          <w:color w:val="000000" w:themeColor="text1"/>
        </w:rPr>
        <w:t xml:space="preserve"> mai</w:t>
      </w:r>
      <w:r w:rsidRPr="00E8352A">
        <w:rPr>
          <w:b w:val="0"/>
          <w:bCs/>
          <w:color w:val="000000" w:themeColor="text1"/>
        </w:rPr>
        <w:t xml:space="preserve"> 2018. a nr </w:t>
      </w:r>
      <w:r>
        <w:rPr>
          <w:b w:val="0"/>
          <w:bCs/>
          <w:color w:val="000000" w:themeColor="text1"/>
        </w:rPr>
        <w:t>9</w:t>
      </w:r>
    </w:p>
    <w:p w14:paraId="6BF316A5" w14:textId="77777777" w:rsidR="000A5D12" w:rsidRPr="00E8352A" w:rsidRDefault="000A5D12" w:rsidP="000A5D12">
      <w:pPr>
        <w:jc w:val="both"/>
        <w:rPr>
          <w:b w:val="0"/>
          <w:bCs/>
          <w:color w:val="000000" w:themeColor="text1"/>
        </w:rPr>
      </w:pPr>
      <w:r w:rsidRPr="00E8352A">
        <w:rPr>
          <w:b w:val="0"/>
          <w:bCs/>
          <w:color w:val="000000" w:themeColor="text1"/>
        </w:rPr>
        <w:t>Tallinn</w:t>
      </w:r>
    </w:p>
    <w:p w14:paraId="67B89839" w14:textId="77777777" w:rsidR="000A5D12" w:rsidRDefault="000A5D12" w:rsidP="000A5D12">
      <w:pPr>
        <w:keepNext/>
        <w:jc w:val="both"/>
        <w:outlineLvl w:val="0"/>
        <w:rPr>
          <w:bCs/>
          <w:color w:val="000000"/>
          <w:kern w:val="32"/>
          <w:szCs w:val="32"/>
          <w:lang w:eastAsia="x-none"/>
        </w:rPr>
      </w:pPr>
    </w:p>
    <w:p w14:paraId="2FB4AC48" w14:textId="77777777" w:rsidR="000A5D12" w:rsidRDefault="000A5D12" w:rsidP="000A5D12">
      <w:pPr>
        <w:keepNext/>
        <w:jc w:val="both"/>
        <w:outlineLvl w:val="0"/>
        <w:rPr>
          <w:bCs/>
          <w:color w:val="000000"/>
          <w:kern w:val="32"/>
          <w:szCs w:val="32"/>
          <w:lang w:eastAsia="x-none"/>
        </w:rPr>
      </w:pPr>
    </w:p>
    <w:p w14:paraId="206DAFD6" w14:textId="77777777" w:rsidR="000A5D12" w:rsidRDefault="000A5D12" w:rsidP="000A5D12">
      <w:pPr>
        <w:jc w:val="both"/>
        <w:rPr>
          <w:bCs/>
          <w:color w:val="000000"/>
          <w:kern w:val="32"/>
          <w:szCs w:val="32"/>
          <w:lang w:eastAsia="x-none"/>
        </w:rPr>
      </w:pPr>
    </w:p>
    <w:p w14:paraId="5159FFD8" w14:textId="71F9880E" w:rsidR="00F87227" w:rsidRDefault="00F87227" w:rsidP="000A5D12">
      <w:pPr>
        <w:jc w:val="both"/>
        <w:rPr>
          <w:bCs/>
          <w:color w:val="000000"/>
          <w:kern w:val="32"/>
          <w:szCs w:val="32"/>
          <w:lang w:eastAsia="x-none"/>
        </w:rPr>
      </w:pPr>
      <w:r>
        <w:rPr>
          <w:bCs/>
          <w:color w:val="000000"/>
          <w:kern w:val="32"/>
          <w:szCs w:val="32"/>
          <w:lang w:eastAsia="x-none"/>
        </w:rPr>
        <w:t>Kohustus tutvustada kliendile kohtuistungi protokolli</w:t>
      </w:r>
    </w:p>
    <w:p w14:paraId="426EDB1F" w14:textId="77777777" w:rsidR="00F87227" w:rsidRPr="00BC44E6" w:rsidRDefault="00F87227" w:rsidP="000A5D12">
      <w:pPr>
        <w:jc w:val="both"/>
        <w:rPr>
          <w:bCs/>
          <w:color w:val="000000"/>
        </w:rPr>
      </w:pPr>
    </w:p>
    <w:p w14:paraId="2AFF74EB" w14:textId="5B084C5A" w:rsidR="000A5D12" w:rsidRDefault="000A5D12" w:rsidP="000A5D12">
      <w:pPr>
        <w:pStyle w:val="Default"/>
      </w:pPr>
      <w:r>
        <w:t xml:space="preserve">Vandeadvokaat </w:t>
      </w:r>
      <w:r w:rsidR="00F87227">
        <w:t>A</w:t>
      </w:r>
      <w:r>
        <w:t xml:space="preserve"> soovib juhatuse seisukohta küsimuses, kas kaitsja on kohustatud tutvustama kliendile kohtuistungi protokolli või on see kohtu kohustus. </w:t>
      </w:r>
    </w:p>
    <w:p w14:paraId="25351C7C" w14:textId="77777777" w:rsidR="000A5D12" w:rsidRDefault="000A5D12" w:rsidP="000A5D12">
      <w:pPr>
        <w:pStyle w:val="Default"/>
      </w:pPr>
    </w:p>
    <w:p w14:paraId="019294F8" w14:textId="2E6EB165" w:rsidR="000A5D12" w:rsidRDefault="000A5D12" w:rsidP="000A5D12">
      <w:pPr>
        <w:pStyle w:val="Default"/>
      </w:pPr>
      <w:r>
        <w:t xml:space="preserve">Advokaat märgib, et ringkonnakohtu kriminaalkolleegium on kohtumääruses välja toonud, </w:t>
      </w:r>
      <w:r w:rsidRPr="00ED56DE">
        <w:t>et</w:t>
      </w:r>
      <w:r>
        <w:t xml:space="preserve"> </w:t>
      </w:r>
      <w:r w:rsidRPr="00ED56DE">
        <w:rPr>
          <w:iCs/>
        </w:rPr>
        <w:t>süüdistataval on õigus kohtuistugi protokolliga tutvuda vaid kaitsja vahendusel</w:t>
      </w:r>
      <w:r w:rsidRPr="00ED56DE">
        <w:t>.</w:t>
      </w:r>
      <w:r>
        <w:t xml:space="preserve"> Kaitsja selgitas määruskaebuses, et KrMS § 156</w:t>
      </w:r>
      <w:r>
        <w:rPr>
          <w:vertAlign w:val="superscript"/>
        </w:rPr>
        <w:t>1</w:t>
      </w:r>
      <w:bookmarkStart w:id="0" w:name="para156b1"/>
      <w:r>
        <w:t> </w:t>
      </w:r>
      <w:bookmarkEnd w:id="0"/>
      <w:r>
        <w:t>lg 1 kohaselt on kohtumenetluse pooltel õigus saada kohtuistungi protokolli koopia ja kohtuistungi helisalvestamise korral kohtuistungi helisalvestis. KrMS § 17 lg 1 </w:t>
      </w:r>
      <w:bookmarkStart w:id="1" w:name="para17"/>
      <w:r>
        <w:t> </w:t>
      </w:r>
      <w:bookmarkEnd w:id="1"/>
      <w:r>
        <w:t>kohaselt on kohtumenetluse pooled prokuratuur, süüdistatav ja tema kaitsja ning kannatanu, tsiviilkostja ja kolmas isik. Sama paragrahvi lõikest 2 tulenevalt on kohtumenetluse poolel menetlusosalise õigused. Advokaadi klient on mitmeid kordi taotlenud, et talle esitataks kohtuistungi protokolli koopia, kuid siiani ei ole kohus tema taotlust rahuldanud.</w:t>
      </w:r>
    </w:p>
    <w:p w14:paraId="6F69B25A" w14:textId="77777777" w:rsidR="000A5D12" w:rsidRDefault="000A5D12" w:rsidP="000A5D12">
      <w:pPr>
        <w:pStyle w:val="Default"/>
      </w:pPr>
    </w:p>
    <w:p w14:paraId="44EC12BE" w14:textId="77777777" w:rsidR="000A5D12" w:rsidRDefault="000A5D12" w:rsidP="000A5D12">
      <w:pPr>
        <w:jc w:val="both"/>
        <w:outlineLvl w:val="0"/>
        <w:rPr>
          <w:b w:val="0"/>
          <w:bCs/>
          <w:color w:val="000000"/>
        </w:rPr>
      </w:pPr>
      <w:r>
        <w:rPr>
          <w:b w:val="0"/>
          <w:bCs/>
          <w:color w:val="000000"/>
        </w:rPr>
        <w:t xml:space="preserve">Juhatuse hinnangul peab kaitsealusel olema võimalus kohtuistungi protokolli saamiseks kohtust ka iseseisvalt. Eeltoodu ei vabasta kaitsjat kaitsealusele protokolli tutvustamisest, kui klient seda soovib. Kui klient pöördub protokolli saamiseks kaitsja poole, on protokolli tutvustamine kaitsja kohustus, kui ta taotleb seda kohtust, peab ta saama selle kohtust.  </w:t>
      </w:r>
    </w:p>
    <w:p w14:paraId="2F97E58E" w14:textId="77777777" w:rsidR="000A5D12" w:rsidRDefault="000A5D12" w:rsidP="000A5D12">
      <w:pPr>
        <w:jc w:val="both"/>
        <w:outlineLvl w:val="0"/>
        <w:rPr>
          <w:b w:val="0"/>
          <w:bCs/>
          <w:color w:val="000000"/>
        </w:rPr>
      </w:pPr>
    </w:p>
    <w:p w14:paraId="714E4CF4" w14:textId="77777777" w:rsidR="000A5D12" w:rsidRPr="00BC44E6" w:rsidRDefault="000A5D12" w:rsidP="000A5D12">
      <w:pPr>
        <w:jc w:val="both"/>
        <w:outlineLvl w:val="0"/>
        <w:rPr>
          <w:b w:val="0"/>
          <w:bCs/>
          <w:color w:val="000000"/>
        </w:rPr>
      </w:pPr>
    </w:p>
    <w:p w14:paraId="63EB1AB5" w14:textId="77777777" w:rsidR="000A5D12" w:rsidRPr="00BC44E6" w:rsidRDefault="000A5D12" w:rsidP="000A5D12">
      <w:pPr>
        <w:jc w:val="both"/>
        <w:outlineLvl w:val="0"/>
        <w:rPr>
          <w:b w:val="0"/>
          <w:bCs/>
          <w:color w:val="000000"/>
        </w:rPr>
      </w:pPr>
      <w:r w:rsidRPr="00BC44E6">
        <w:rPr>
          <w:b w:val="0"/>
          <w:bCs/>
          <w:color w:val="000000"/>
        </w:rPr>
        <w:t>Juhatus</w:t>
      </w:r>
    </w:p>
    <w:p w14:paraId="4D6C8B83" w14:textId="77777777" w:rsidR="000A5D12" w:rsidRPr="00BC44E6" w:rsidRDefault="000A5D12" w:rsidP="000A5D12">
      <w:pPr>
        <w:jc w:val="both"/>
        <w:outlineLvl w:val="0"/>
        <w:rPr>
          <w:b w:val="0"/>
          <w:bCs/>
          <w:color w:val="000000"/>
        </w:rPr>
      </w:pPr>
    </w:p>
    <w:p w14:paraId="583100CC" w14:textId="77777777" w:rsidR="000A5D12" w:rsidRDefault="000A5D12" w:rsidP="000A5D12">
      <w:pPr>
        <w:jc w:val="both"/>
        <w:outlineLvl w:val="0"/>
        <w:rPr>
          <w:bCs/>
          <w:color w:val="000000"/>
        </w:rPr>
      </w:pPr>
      <w:r w:rsidRPr="00BC44E6">
        <w:rPr>
          <w:bCs/>
          <w:color w:val="000000"/>
        </w:rPr>
        <w:t>O T S U S T A S</w:t>
      </w:r>
    </w:p>
    <w:p w14:paraId="6AF874A3" w14:textId="77777777" w:rsidR="000A5D12" w:rsidRDefault="000A5D12" w:rsidP="000A5D12">
      <w:pPr>
        <w:jc w:val="both"/>
        <w:outlineLvl w:val="0"/>
        <w:rPr>
          <w:bCs/>
          <w:color w:val="000000"/>
        </w:rPr>
      </w:pPr>
    </w:p>
    <w:p w14:paraId="589F8BF2" w14:textId="6387950C" w:rsidR="000A5D12" w:rsidRPr="00471A8B" w:rsidRDefault="000A5D12" w:rsidP="000A5D12">
      <w:pPr>
        <w:jc w:val="both"/>
        <w:outlineLvl w:val="0"/>
        <w:rPr>
          <w:bCs/>
          <w:color w:val="000000"/>
        </w:rPr>
      </w:pPr>
      <w:r w:rsidRPr="00471A8B">
        <w:rPr>
          <w:bCs/>
          <w:color w:val="000000"/>
        </w:rPr>
        <w:t>Teha juhatuse otsus adv</w:t>
      </w:r>
      <w:r>
        <w:rPr>
          <w:bCs/>
          <w:color w:val="000000"/>
        </w:rPr>
        <w:t>okaa</w:t>
      </w:r>
      <w:r w:rsidR="00F87227">
        <w:rPr>
          <w:bCs/>
          <w:color w:val="000000"/>
        </w:rPr>
        <w:t>dile</w:t>
      </w:r>
      <w:r>
        <w:rPr>
          <w:bCs/>
          <w:color w:val="000000"/>
        </w:rPr>
        <w:t xml:space="preserve"> teatavaks.</w:t>
      </w:r>
    </w:p>
    <w:p w14:paraId="7BC8B121" w14:textId="77777777" w:rsidR="00AC1807" w:rsidRDefault="00AC1807"/>
    <w:sectPr w:rsidR="00AC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12"/>
    <w:rsid w:val="000A5D12"/>
    <w:rsid w:val="00AC1807"/>
    <w:rsid w:val="00F872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9FD3"/>
  <w15:chartTrackingRefBased/>
  <w15:docId w15:val="{D9F4529D-D588-4DAE-BF58-4B124B06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5D12"/>
    <w:pPr>
      <w:spacing w:after="0" w:line="240" w:lineRule="auto"/>
    </w:pPr>
    <w:rPr>
      <w:rFonts w:ascii="Times New Roman" w:eastAsia="Times New Roman" w:hAnsi="Times New Roman" w:cs="Times New Roman"/>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autoRedefine/>
    <w:rsid w:val="000A5D12"/>
    <w:pPr>
      <w:suppressAutoHyphens/>
      <w:spacing w:after="0" w:line="240" w:lineRule="auto"/>
      <w:jc w:val="both"/>
    </w:pPr>
    <w:rPr>
      <w:rFonts w:ascii="Times New Roman" w:eastAsia="ヒラギノ角ゴ Pro W3" w:hAnsi="Times New Roman" w:cs="Times New Roman"/>
      <w:color w:val="000000" w:themeColor="text1"/>
      <w:sz w:val="24"/>
      <w:szCs w:val="24"/>
      <w:bdr w:val="none" w:sz="0" w:space="0" w:color="auto" w:frame="1"/>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2</cp:revision>
  <dcterms:created xsi:type="dcterms:W3CDTF">2019-04-24T12:57:00Z</dcterms:created>
  <dcterms:modified xsi:type="dcterms:W3CDTF">2023-10-02T09:21:00Z</dcterms:modified>
</cp:coreProperties>
</file>