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84C6" w14:textId="77777777" w:rsidR="008C7E4A" w:rsidRDefault="008C7E4A" w:rsidP="008C7E4A">
      <w:pPr>
        <w:jc w:val="both"/>
        <w:rPr>
          <w:color w:val="000000"/>
        </w:rPr>
      </w:pPr>
      <w:r>
        <w:rPr>
          <w:color w:val="000000"/>
        </w:rPr>
        <w:t>EESTI ADVOKATUURI JUHATUS</w:t>
      </w:r>
    </w:p>
    <w:p w14:paraId="329C7CD8" w14:textId="77777777" w:rsidR="008C7E4A" w:rsidRDefault="008C7E4A" w:rsidP="008C7E4A">
      <w:pPr>
        <w:jc w:val="both"/>
        <w:rPr>
          <w:color w:val="000000"/>
        </w:rPr>
      </w:pPr>
      <w:r>
        <w:rPr>
          <w:color w:val="000000"/>
        </w:rPr>
        <w:t>ISTUNGI PROTOKOLL</w:t>
      </w:r>
    </w:p>
    <w:p w14:paraId="386E26F0" w14:textId="77777777" w:rsidR="008C7E4A" w:rsidRDefault="008C7E4A" w:rsidP="008C7E4A">
      <w:pPr>
        <w:jc w:val="both"/>
        <w:rPr>
          <w:color w:val="000000"/>
        </w:rPr>
      </w:pPr>
      <w:r>
        <w:rPr>
          <w:color w:val="000000"/>
        </w:rPr>
        <w:t>21. veebruar 2012. a nr 4</w:t>
      </w:r>
    </w:p>
    <w:p w14:paraId="74D88F10" w14:textId="77777777" w:rsidR="008C7E4A" w:rsidRDefault="008C7E4A" w:rsidP="008C7E4A">
      <w:pPr>
        <w:jc w:val="both"/>
        <w:rPr>
          <w:color w:val="000000"/>
        </w:rPr>
      </w:pPr>
      <w:r>
        <w:rPr>
          <w:color w:val="000000"/>
        </w:rPr>
        <w:t>Tallinn</w:t>
      </w:r>
    </w:p>
    <w:p w14:paraId="32F55CC3" w14:textId="77777777" w:rsidR="00AB424F" w:rsidRDefault="00AB424F" w:rsidP="00AB424F">
      <w:pPr>
        <w:ind w:left="360"/>
        <w:jc w:val="both"/>
        <w:outlineLvl w:val="0"/>
        <w:rPr>
          <w:b/>
          <w:bCs/>
          <w:color w:val="000000"/>
        </w:rPr>
      </w:pPr>
    </w:p>
    <w:p w14:paraId="02EEF36C" w14:textId="77777777" w:rsidR="008C7E4A" w:rsidRDefault="008C7E4A" w:rsidP="008C7E4A">
      <w:pPr>
        <w:jc w:val="both"/>
        <w:outlineLvl w:val="0"/>
        <w:rPr>
          <w:b/>
          <w:bCs/>
          <w:color w:val="000000"/>
        </w:rPr>
      </w:pPr>
    </w:p>
    <w:p w14:paraId="79042823" w14:textId="093FB297" w:rsidR="00175E37" w:rsidRDefault="00175E37" w:rsidP="008C7E4A">
      <w:pPr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Korraga kahe teenistus- või töölepingu alusel töötamisest</w:t>
      </w:r>
    </w:p>
    <w:p w14:paraId="13DB769B" w14:textId="77777777" w:rsidR="00175E37" w:rsidRDefault="00175E37" w:rsidP="008C7E4A">
      <w:pPr>
        <w:jc w:val="both"/>
        <w:outlineLvl w:val="0"/>
        <w:rPr>
          <w:b/>
          <w:bCs/>
          <w:color w:val="000000"/>
        </w:rPr>
      </w:pPr>
    </w:p>
    <w:p w14:paraId="23FD2CB6" w14:textId="77777777" w:rsidR="008C7E4A" w:rsidRDefault="008C7E4A" w:rsidP="008C7E4A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Advokaadibüroo X on asunud välja selgitama vandeadvokaat Y võimalusi tegutseda assotsieerunud advokaadina Soome Vabariigis. Kuivõrd vandeadvokaat Y-l on vaja vandeadvokaadina tegutseda Eestis ka peale EL registrisse kandmist ja kuna tema tegevus Soomes toimuks eelduslikult Advokaadibürooga X mitteseotud Soome advokaadibürooga sõlmitava töö- või teenistuslepingu alusel, palutakse juhatuse arvamust, kas Eesti Advokatuuri vandeadvokaadil võib advokaadi tegevust reguleerivate Eesti siseriiklike õigusaktide ja Euroopa Parlamendi ja Nõukogu direktiivist 98/5/EÜ tulenevalt olla korraga kaks teenistus- või töölepingut, millest üks on sõlmitud päritoluriigi </w:t>
      </w:r>
      <w:proofErr w:type="spellStart"/>
      <w:r>
        <w:rPr>
          <w:bCs/>
          <w:color w:val="000000"/>
        </w:rPr>
        <w:t>advokaadibüroooga</w:t>
      </w:r>
      <w:proofErr w:type="spellEnd"/>
      <w:r>
        <w:rPr>
          <w:bCs/>
          <w:color w:val="000000"/>
        </w:rPr>
        <w:t xml:space="preserve"> ja teine vastuvõtva liikmesriigi advokaadibürooga.</w:t>
      </w:r>
    </w:p>
    <w:p w14:paraId="42A8F79E" w14:textId="77777777" w:rsidR="008C7E4A" w:rsidRDefault="008C7E4A" w:rsidP="008C7E4A">
      <w:pPr>
        <w:jc w:val="both"/>
        <w:outlineLvl w:val="0"/>
        <w:rPr>
          <w:bCs/>
          <w:color w:val="000000"/>
        </w:rPr>
      </w:pPr>
    </w:p>
    <w:p w14:paraId="67304D66" w14:textId="77777777" w:rsidR="008C7E4A" w:rsidRDefault="008C7E4A" w:rsidP="008C7E4A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Juhatus otsustas varasemalt, et kuivõrd küsimus seondub Euroopa Parlamendi ja Nõukogu direktiivi 98/5/EÜ, millega hõlbustatakse alalist tegutsemist advokaadi kutsealal muus liikmesriigis kui see, kus omandati kutsekvalifikatsioon, tõlgendamisega, tuleks enne küsimuse põhjalikumat analüüsi välja selgitada, kas CCBE-l on nimetatud küsimus väljakujunenud seisukoht ja milline on teiste riikide praktika selles küsimuses. CCBE komitee </w:t>
      </w:r>
      <w:proofErr w:type="spellStart"/>
      <w:r>
        <w:rPr>
          <w:bCs/>
          <w:i/>
          <w:color w:val="000000"/>
        </w:rPr>
        <w:t>Free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Movement</w:t>
      </w:r>
      <w:proofErr w:type="spellEnd"/>
      <w:r>
        <w:rPr>
          <w:bCs/>
          <w:i/>
          <w:color w:val="000000"/>
        </w:rPr>
        <w:t xml:space="preserve"> of </w:t>
      </w:r>
      <w:proofErr w:type="spellStart"/>
      <w:r>
        <w:rPr>
          <w:bCs/>
          <w:i/>
          <w:color w:val="000000"/>
        </w:rPr>
        <w:t>Lawyers</w:t>
      </w:r>
      <w:proofErr w:type="spellEnd"/>
      <w:r>
        <w:rPr>
          <w:bCs/>
          <w:color w:val="000000"/>
        </w:rPr>
        <w:t xml:space="preserve"> arutas nimetatud küsimust ja leidis, et olukord, kus advokaadil on korraga kaks teenistus- või töölepingut, millest üks on sõlmitud päritoluriigi </w:t>
      </w:r>
      <w:proofErr w:type="spellStart"/>
      <w:r>
        <w:rPr>
          <w:bCs/>
          <w:color w:val="000000"/>
        </w:rPr>
        <w:t>advokaadibüroooga</w:t>
      </w:r>
      <w:proofErr w:type="spellEnd"/>
      <w:r>
        <w:rPr>
          <w:bCs/>
          <w:color w:val="000000"/>
        </w:rPr>
        <w:t xml:space="preserve"> ja teine vastuvõtva liikmesriigi advokaadibürooga, ei ole vastuolus Euroopa Parlamendi ja Nõukogu direktiiviga 98/5/EÜ.</w:t>
      </w:r>
    </w:p>
    <w:p w14:paraId="43163C90" w14:textId="77777777" w:rsidR="008C7E4A" w:rsidRDefault="008C7E4A" w:rsidP="008C7E4A">
      <w:pPr>
        <w:jc w:val="both"/>
        <w:outlineLvl w:val="0"/>
        <w:rPr>
          <w:bCs/>
          <w:color w:val="000000"/>
        </w:rPr>
      </w:pPr>
    </w:p>
    <w:p w14:paraId="471E397A" w14:textId="77777777" w:rsidR="008C7E4A" w:rsidRDefault="008C7E4A" w:rsidP="008C7E4A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Lisaks CCBE seisukohale pidas juhatus vajalikuks pöörduda Soome Advokatuuri poole, et välja selgitada, kas olukord, kus advokaadil on korraga kaks teenistus- või töölepingut, millest üks on sõlmitud päritoluriigi </w:t>
      </w:r>
      <w:proofErr w:type="spellStart"/>
      <w:r>
        <w:rPr>
          <w:bCs/>
          <w:color w:val="000000"/>
        </w:rPr>
        <w:t>advokaadibüroooga</w:t>
      </w:r>
      <w:proofErr w:type="spellEnd"/>
      <w:r>
        <w:rPr>
          <w:bCs/>
          <w:color w:val="000000"/>
        </w:rPr>
        <w:t xml:space="preserve"> ja teine vastuvõtva liikmesriigi advokaadibürooga, on kooskõlas Soome Advokatuuri tegevust reguleerivate õigusaktidega. Soome Advokatuurilt saadud vastuse kohaselt ei või advokaat töötada kahes erinevas advokaadibüroos.</w:t>
      </w:r>
    </w:p>
    <w:p w14:paraId="6D8FDD00" w14:textId="77777777" w:rsidR="008C7E4A" w:rsidRDefault="008C7E4A" w:rsidP="008C7E4A">
      <w:pPr>
        <w:jc w:val="both"/>
        <w:outlineLvl w:val="0"/>
        <w:rPr>
          <w:bCs/>
          <w:color w:val="000000"/>
        </w:rPr>
      </w:pPr>
    </w:p>
    <w:p w14:paraId="431E477B" w14:textId="77777777" w:rsidR="008C7E4A" w:rsidRDefault="008C7E4A" w:rsidP="008C7E4A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Advokaadibüroo X on palunud täiendavalt juhatuse hinnangut, kas ja millistel tingimustel advokaadi tegevust reguleerivad siseriiklikud õigusaktid võimaldavad vandeadvokaadil Y vandeadvokaadina õigusteenust osutada Soome Vabariigis Soome Advokaadibüroo palgatöötajana. </w:t>
      </w:r>
    </w:p>
    <w:p w14:paraId="7BA90489" w14:textId="77777777" w:rsidR="008C7E4A" w:rsidRDefault="008C7E4A" w:rsidP="008C7E4A">
      <w:pPr>
        <w:jc w:val="both"/>
        <w:outlineLvl w:val="0"/>
        <w:rPr>
          <w:bCs/>
          <w:color w:val="000000"/>
        </w:rPr>
      </w:pPr>
    </w:p>
    <w:p w14:paraId="1E1FE738" w14:textId="77777777" w:rsidR="008C7E4A" w:rsidRDefault="008C7E4A" w:rsidP="008C7E4A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Juhatus hinnangul tuleb direktiivi, advokatuuriseaduse ja Soome Advokatuurilt saadud vastuse valguses asuda seisukohale, et vandeadvokaat Y võib tegutseda Soomes selliselt, et vandeadvokaat Y lõpetab teenistuslepingu Advokaadibürooga X ning sõlmib uue lepingu Soome advokaadibürooga.</w:t>
      </w:r>
    </w:p>
    <w:p w14:paraId="48F6151A" w14:textId="77777777" w:rsidR="008C7E4A" w:rsidRDefault="008C7E4A" w:rsidP="008C7E4A">
      <w:pPr>
        <w:jc w:val="both"/>
        <w:outlineLvl w:val="0"/>
        <w:rPr>
          <w:b/>
          <w:bCs/>
          <w:color w:val="000000"/>
        </w:rPr>
      </w:pPr>
    </w:p>
    <w:p w14:paraId="23946468" w14:textId="77777777" w:rsidR="008C7E4A" w:rsidRDefault="008C7E4A" w:rsidP="008C7E4A">
      <w:pPr>
        <w:jc w:val="both"/>
        <w:outlineLvl w:val="0"/>
        <w:rPr>
          <w:b/>
          <w:bCs/>
          <w:color w:val="000000"/>
        </w:rPr>
      </w:pPr>
    </w:p>
    <w:p w14:paraId="0EDCBB15" w14:textId="77777777" w:rsidR="008C7E4A" w:rsidRDefault="008C7E4A" w:rsidP="008C7E4A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Juhatus</w:t>
      </w:r>
    </w:p>
    <w:p w14:paraId="4501CB2D" w14:textId="77777777" w:rsidR="008C7E4A" w:rsidRDefault="008C7E4A" w:rsidP="008C7E4A">
      <w:pPr>
        <w:jc w:val="both"/>
        <w:outlineLvl w:val="0"/>
        <w:rPr>
          <w:b/>
          <w:bCs/>
          <w:color w:val="000000"/>
        </w:rPr>
      </w:pPr>
    </w:p>
    <w:p w14:paraId="70DC602D" w14:textId="77777777" w:rsidR="008C7E4A" w:rsidRDefault="008C7E4A" w:rsidP="008C7E4A">
      <w:pPr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O T S U S T A S:</w:t>
      </w:r>
    </w:p>
    <w:p w14:paraId="51628E97" w14:textId="77777777" w:rsidR="008C7E4A" w:rsidRDefault="008C7E4A" w:rsidP="008C7E4A">
      <w:pPr>
        <w:jc w:val="both"/>
        <w:outlineLvl w:val="0"/>
        <w:rPr>
          <w:b/>
          <w:bCs/>
          <w:color w:val="000000"/>
        </w:rPr>
      </w:pPr>
    </w:p>
    <w:p w14:paraId="4D051497" w14:textId="77777777" w:rsidR="008C7E4A" w:rsidRDefault="008C7E4A" w:rsidP="008C7E4A">
      <w:pPr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Teavitada eeltoodud seisukohast asjassepuutuvat vandeadvokaati.</w:t>
      </w:r>
    </w:p>
    <w:p w14:paraId="56F3C79C" w14:textId="77777777" w:rsidR="00200508" w:rsidRDefault="00200508" w:rsidP="00A641A6">
      <w:pPr>
        <w:ind w:left="360"/>
        <w:jc w:val="both"/>
        <w:outlineLvl w:val="0"/>
      </w:pPr>
    </w:p>
    <w:sectPr w:rsidR="0020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40B2"/>
    <w:multiLevelType w:val="multilevel"/>
    <w:tmpl w:val="ECF8A0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79C4181B"/>
    <w:multiLevelType w:val="multilevel"/>
    <w:tmpl w:val="06322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31658504">
    <w:abstractNumId w:val="1"/>
  </w:num>
  <w:num w:numId="2" w16cid:durableId="1966349418">
    <w:abstractNumId w:val="0"/>
  </w:num>
  <w:num w:numId="3" w16cid:durableId="379013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4F"/>
    <w:rsid w:val="00173B19"/>
    <w:rsid w:val="00175E37"/>
    <w:rsid w:val="00195242"/>
    <w:rsid w:val="00200508"/>
    <w:rsid w:val="008C7E4A"/>
    <w:rsid w:val="00A641A6"/>
    <w:rsid w:val="00A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E9A0"/>
  <w15:chartTrackingRefBased/>
  <w15:docId w15:val="{4011B9FD-DFB6-4375-B808-6953B285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B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Paart</dc:creator>
  <cp:keywords/>
  <dc:description/>
  <cp:lastModifiedBy>Jane Suur</cp:lastModifiedBy>
  <cp:revision>3</cp:revision>
  <dcterms:created xsi:type="dcterms:W3CDTF">2019-04-22T09:01:00Z</dcterms:created>
  <dcterms:modified xsi:type="dcterms:W3CDTF">2023-10-04T12:18:00Z</dcterms:modified>
</cp:coreProperties>
</file>