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FB08D" w14:textId="77777777" w:rsidR="00BB45DF" w:rsidRPr="00EF495C" w:rsidRDefault="00BB45DF" w:rsidP="00BB45DF">
      <w:pPr>
        <w:rPr>
          <w:color w:val="000000"/>
        </w:rPr>
      </w:pPr>
      <w:r w:rsidRPr="00EF495C">
        <w:rPr>
          <w:b w:val="0"/>
          <w:bCs/>
          <w:color w:val="000000"/>
        </w:rPr>
        <w:t>EESTI ADVOKATUURI JUHATUS</w:t>
      </w:r>
    </w:p>
    <w:p w14:paraId="1284C8D3" w14:textId="77777777" w:rsidR="00BB45DF" w:rsidRPr="00EF495C" w:rsidRDefault="00BB45DF" w:rsidP="00BB45DF">
      <w:pPr>
        <w:jc w:val="both"/>
        <w:rPr>
          <w:b w:val="0"/>
          <w:bCs/>
          <w:color w:val="000000"/>
        </w:rPr>
      </w:pPr>
      <w:r w:rsidRPr="00EF495C">
        <w:rPr>
          <w:b w:val="0"/>
          <w:bCs/>
          <w:color w:val="000000"/>
        </w:rPr>
        <w:t>ISTUNGI PROTOKOLL</w:t>
      </w:r>
    </w:p>
    <w:p w14:paraId="0B18F197" w14:textId="77777777" w:rsidR="00BB45DF" w:rsidRPr="00EF495C" w:rsidRDefault="00BB45DF" w:rsidP="00BB45DF">
      <w:pPr>
        <w:jc w:val="both"/>
        <w:rPr>
          <w:b w:val="0"/>
          <w:bCs/>
          <w:color w:val="000000"/>
        </w:rPr>
      </w:pPr>
      <w:r w:rsidRPr="00EF495C">
        <w:rPr>
          <w:b w:val="0"/>
          <w:bCs/>
          <w:color w:val="000000"/>
        </w:rPr>
        <w:t>5. märts 2019. a nr 5</w:t>
      </w:r>
    </w:p>
    <w:p w14:paraId="56F8E467" w14:textId="77777777" w:rsidR="00BB45DF" w:rsidRPr="00EF495C" w:rsidRDefault="00BB45DF" w:rsidP="00BB45DF">
      <w:pPr>
        <w:jc w:val="both"/>
        <w:rPr>
          <w:b w:val="0"/>
          <w:bCs/>
          <w:color w:val="000000"/>
        </w:rPr>
      </w:pPr>
      <w:r w:rsidRPr="00EF495C">
        <w:rPr>
          <w:b w:val="0"/>
          <w:bCs/>
          <w:color w:val="000000"/>
        </w:rPr>
        <w:t>Tallinn</w:t>
      </w:r>
    </w:p>
    <w:p w14:paraId="255F2640" w14:textId="77777777" w:rsidR="00BB45DF" w:rsidRDefault="00BB45DF" w:rsidP="00BB45DF">
      <w:pPr>
        <w:jc w:val="both"/>
        <w:outlineLvl w:val="0"/>
        <w:rPr>
          <w:bCs/>
          <w:color w:val="000000"/>
        </w:rPr>
      </w:pPr>
    </w:p>
    <w:p w14:paraId="4E4B2F21" w14:textId="3E3CF457" w:rsidR="00BB45DF" w:rsidRDefault="00BB45DF" w:rsidP="005F7A02">
      <w:pPr>
        <w:jc w:val="both"/>
        <w:outlineLvl w:val="0"/>
        <w:rPr>
          <w:bCs/>
          <w:color w:val="000000"/>
        </w:rPr>
      </w:pPr>
    </w:p>
    <w:p w14:paraId="5F7A853E" w14:textId="1DF18AF3" w:rsidR="005F7A02" w:rsidRPr="005F7A02" w:rsidRDefault="005F7A02" w:rsidP="005F7A02">
      <w:pPr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Kriminaalmenetlusega seotud küsimused</w:t>
      </w:r>
    </w:p>
    <w:p w14:paraId="355BE293" w14:textId="77777777" w:rsidR="00BB45DF" w:rsidRDefault="00BB45DF" w:rsidP="00BB45DF">
      <w:pPr>
        <w:jc w:val="both"/>
        <w:outlineLvl w:val="0"/>
        <w:rPr>
          <w:bCs/>
          <w:color w:val="000000"/>
        </w:rPr>
      </w:pPr>
    </w:p>
    <w:p w14:paraId="210FF639" w14:textId="4EF04B59" w:rsidR="00BB45DF" w:rsidRPr="00691AFF" w:rsidRDefault="00BB45DF" w:rsidP="00BB45DF">
      <w:pPr>
        <w:suppressAutoHyphens/>
        <w:autoSpaceDN w:val="0"/>
        <w:jc w:val="both"/>
        <w:textAlignment w:val="baseline"/>
        <w:rPr>
          <w:b w:val="0"/>
          <w:strike/>
          <w:lang w:eastAsia="en-US"/>
        </w:rPr>
      </w:pPr>
      <w:r>
        <w:rPr>
          <w:b w:val="0"/>
          <w:lang w:eastAsia="en-US"/>
        </w:rPr>
        <w:t>J</w:t>
      </w:r>
      <w:r w:rsidRPr="00AD1F16">
        <w:rPr>
          <w:b w:val="0"/>
          <w:lang w:eastAsia="en-US"/>
        </w:rPr>
        <w:t xml:space="preserve">uhatuse poole pöördus avaldusega vandeadvokaat </w:t>
      </w:r>
      <w:r w:rsidR="005F7A02">
        <w:rPr>
          <w:b w:val="0"/>
          <w:lang w:eastAsia="en-US"/>
        </w:rPr>
        <w:t>A</w:t>
      </w:r>
      <w:r w:rsidRPr="00AD1F16">
        <w:rPr>
          <w:b w:val="0"/>
          <w:lang w:eastAsia="en-US"/>
        </w:rPr>
        <w:t xml:space="preserve">, kes soovib saada seisukohta </w:t>
      </w:r>
      <w:r>
        <w:rPr>
          <w:b w:val="0"/>
          <w:lang w:eastAsia="en-US"/>
        </w:rPr>
        <w:t>alljärgnevatele</w:t>
      </w:r>
      <w:r w:rsidRPr="00AD1F16">
        <w:rPr>
          <w:b w:val="0"/>
          <w:lang w:eastAsia="en-US"/>
        </w:rPr>
        <w:t xml:space="preserve"> küsimustele</w:t>
      </w:r>
      <w:r>
        <w:rPr>
          <w:b w:val="0"/>
          <w:lang w:eastAsia="en-US"/>
        </w:rPr>
        <w:t>, mis on tõusetunud kriminaalmenetluses, millega ta on liitunud</w:t>
      </w:r>
      <w:r w:rsidRPr="00AD1F16">
        <w:rPr>
          <w:b w:val="0"/>
          <w:lang w:eastAsia="en-US"/>
        </w:rPr>
        <w:t xml:space="preserve"> kohtumenetluse etapi</w:t>
      </w:r>
      <w:r w:rsidR="005F7A02">
        <w:rPr>
          <w:b w:val="0"/>
          <w:lang w:eastAsia="en-US"/>
        </w:rPr>
        <w:t>s</w:t>
      </w:r>
      <w:r>
        <w:rPr>
          <w:b w:val="0"/>
          <w:lang w:eastAsia="en-US"/>
        </w:rPr>
        <w:t>.</w:t>
      </w:r>
      <w:r w:rsidRPr="00AD1F16">
        <w:rPr>
          <w:b w:val="0"/>
          <w:lang w:eastAsia="en-US"/>
        </w:rPr>
        <w:t xml:space="preserve"> </w:t>
      </w:r>
    </w:p>
    <w:p w14:paraId="7C65B3DB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64B1DFE1" w14:textId="77777777" w:rsidR="00BB45DF" w:rsidRDefault="00BB45DF" w:rsidP="00BB45D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t>Kui kaitsjale on kriminaalasja materjal üle antud CD</w:t>
      </w:r>
      <w:r>
        <w:rPr>
          <w:lang w:eastAsia="en-US"/>
        </w:rPr>
        <w:t>-</w:t>
      </w:r>
      <w:r w:rsidRPr="00AD1F16">
        <w:rPr>
          <w:lang w:eastAsia="en-US"/>
        </w:rPr>
        <w:t xml:space="preserve">plaadil, kas kaitsjal on õigus saada materjale ka e-toimiku vahendusel? </w:t>
      </w:r>
    </w:p>
    <w:p w14:paraId="16E69661" w14:textId="77777777" w:rsidR="00BB45DF" w:rsidRPr="00AD1F16" w:rsidRDefault="00BB45DF" w:rsidP="00BB45DF">
      <w:pPr>
        <w:suppressAutoHyphens/>
        <w:autoSpaceDN w:val="0"/>
        <w:ind w:left="720"/>
        <w:jc w:val="both"/>
        <w:textAlignment w:val="baseline"/>
        <w:rPr>
          <w:lang w:eastAsia="en-US"/>
        </w:rPr>
      </w:pPr>
    </w:p>
    <w:p w14:paraId="2723C056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b w:val="0"/>
          <w:lang w:eastAsia="en-US"/>
        </w:rPr>
        <w:t xml:space="preserve">Kriminaalmenetluse seadustik (KrMS) § 224 lg 1 sätestab, et prokuratuur esitab kaitsjale kriminaaltoimiku koopia elektroonilisel andmekandjal või kaitsja kirjaliku põhistatud taotluse alusel paberil. </w:t>
      </w:r>
    </w:p>
    <w:p w14:paraId="21966674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21E5475C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>
        <w:rPr>
          <w:b w:val="0"/>
          <w:lang w:eastAsia="en-US"/>
        </w:rPr>
        <w:t>A</w:t>
      </w:r>
      <w:r w:rsidRPr="00AD1F16">
        <w:rPr>
          <w:b w:val="0"/>
          <w:lang w:eastAsia="en-US"/>
        </w:rPr>
        <w:t xml:space="preserve">sjaga seotud </w:t>
      </w:r>
      <w:r>
        <w:rPr>
          <w:b w:val="0"/>
          <w:lang w:eastAsia="en-US"/>
        </w:rPr>
        <w:t>r</w:t>
      </w:r>
      <w:r w:rsidRPr="00AD1F16">
        <w:rPr>
          <w:b w:val="0"/>
          <w:lang w:eastAsia="en-US"/>
        </w:rPr>
        <w:t>iigiprokurör selgitas, et reeglina väljastatakse toimiku koopiaid küll e-toimiku vahendusel, ent nimetatud reeglist tehakse erandeid mahukamate kriminaalasjade puhul (kus toimiku koopia andmemaht ei võimalda toimiku PDF koopiat mõistlikul viisil e-toimikusse üles laadida) või vahistatud kahtlustatavate/süüdistatavate puhul (kuivõrd kinnipidamisasutustes ei ole alati tagatud juurdepääs e-toimikule, mistõttu on praktikas võimalik toimikut kliendile tutvustada paberkandjal või CD</w:t>
      </w:r>
      <w:r>
        <w:rPr>
          <w:b w:val="0"/>
          <w:lang w:eastAsia="en-US"/>
        </w:rPr>
        <w:t>-</w:t>
      </w:r>
      <w:r w:rsidRPr="00AD1F16">
        <w:rPr>
          <w:b w:val="0"/>
          <w:lang w:eastAsia="en-US"/>
        </w:rPr>
        <w:t xml:space="preserve">plaadilt). Ühtlasi kinnitas riigiprokurör, et kaitsjale </w:t>
      </w:r>
      <w:r>
        <w:rPr>
          <w:b w:val="0"/>
          <w:lang w:eastAsia="en-US"/>
        </w:rPr>
        <w:t xml:space="preserve">väljastatakse </w:t>
      </w:r>
      <w:r w:rsidRPr="00AD1F16">
        <w:rPr>
          <w:b w:val="0"/>
          <w:lang w:eastAsia="en-US"/>
        </w:rPr>
        <w:t xml:space="preserve">motiveeritud taotlusel </w:t>
      </w:r>
      <w:r>
        <w:rPr>
          <w:b w:val="0"/>
          <w:lang w:eastAsia="en-US"/>
        </w:rPr>
        <w:t>k</w:t>
      </w:r>
      <w:r w:rsidRPr="00AD1F16">
        <w:rPr>
          <w:b w:val="0"/>
          <w:lang w:eastAsia="en-US"/>
        </w:rPr>
        <w:t xml:space="preserve">a teistkordselt kriminaaltoimiku koopia – seda eeskätt olukorras, kus eelnevalt väljastatud toimiku koopiaga ei ole võimalik tööd enam teha (nt andmekandja, millel toimiku koopia väljastati, ei toimi enam; samuti olukorras, kus toimiku koopia on hävinenud tulekahjus või </w:t>
      </w:r>
      <w:r>
        <w:rPr>
          <w:b w:val="0"/>
          <w:lang w:eastAsia="en-US"/>
        </w:rPr>
        <w:t>erakorralise iseloomuga loodusnähtuste tõttu</w:t>
      </w:r>
      <w:r w:rsidRPr="00AD1F16">
        <w:rPr>
          <w:b w:val="0"/>
          <w:lang w:eastAsia="en-US"/>
        </w:rPr>
        <w:t xml:space="preserve">, kus kaitsja on toimiku koopia kaotanud või mõnel muul põhjusel enda valdusest välja andnud ega saa seda enam tagasi). </w:t>
      </w:r>
      <w:r>
        <w:rPr>
          <w:b w:val="0"/>
          <w:lang w:eastAsia="en-US"/>
        </w:rPr>
        <w:t xml:space="preserve"> </w:t>
      </w:r>
    </w:p>
    <w:p w14:paraId="73EF5861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401E77C6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>
        <w:rPr>
          <w:b w:val="0"/>
          <w:lang w:eastAsia="en-US"/>
        </w:rPr>
        <w:t>Kehtiv KrMS § 224 regulatsioon ei võimalda j</w:t>
      </w:r>
      <w:r w:rsidRPr="00AD1F16">
        <w:rPr>
          <w:b w:val="0"/>
          <w:lang w:eastAsia="en-US"/>
        </w:rPr>
        <w:t>uhatuse hinnangul kaitsjal nõuda kriminaaltoimiku materjalide edastamist e-toimiku kaudu</w:t>
      </w:r>
      <w:r>
        <w:rPr>
          <w:b w:val="0"/>
          <w:lang w:eastAsia="en-US"/>
        </w:rPr>
        <w:t>. Kuigi praktikas edastatakse kriminaaltoimiku materjalid sageli e-toimiku kaudu, siis nõuda seda ei saa, eriti olukorras</w:t>
      </w:r>
      <w:r w:rsidRPr="00AD1F16">
        <w:rPr>
          <w:b w:val="0"/>
          <w:lang w:eastAsia="en-US"/>
        </w:rPr>
        <w:t>, kus toimiku materjal</w:t>
      </w:r>
      <w:r>
        <w:rPr>
          <w:b w:val="0"/>
          <w:lang w:eastAsia="en-US"/>
        </w:rPr>
        <w:t>e</w:t>
      </w:r>
      <w:r w:rsidRPr="00AD1F16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on </w:t>
      </w:r>
      <w:r w:rsidRPr="00AD1F16">
        <w:rPr>
          <w:b w:val="0"/>
          <w:lang w:eastAsia="en-US"/>
        </w:rPr>
        <w:t xml:space="preserve">juba eelnevalt kaitsjale tutvustatud teise digitaalse andmekandja kaudu (antud juhul CD-plaadil). </w:t>
      </w:r>
    </w:p>
    <w:p w14:paraId="6BE5CE8E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6A31FF71" w14:textId="77777777" w:rsidR="00BB45DF" w:rsidRDefault="00BB45DF" w:rsidP="00BB45DF">
      <w:pPr>
        <w:numPr>
          <w:ilvl w:val="0"/>
          <w:numId w:val="2"/>
        </w:num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t xml:space="preserve">Kas kohtuväline </w:t>
      </w:r>
      <w:r>
        <w:rPr>
          <w:lang w:eastAsia="en-US"/>
        </w:rPr>
        <w:t xml:space="preserve">(mõeldud on „kohtueelne“) </w:t>
      </w:r>
      <w:r w:rsidRPr="00AD1F16">
        <w:rPr>
          <w:lang w:eastAsia="en-US"/>
        </w:rPr>
        <w:t xml:space="preserve">menetleja on advokaadi taotlusel kohustatud lisama kaitsja e-toimikus menetlusosaliste nimekirja ka siis, kui asi on juba kohtu menetluses? </w:t>
      </w:r>
    </w:p>
    <w:p w14:paraId="1B217496" w14:textId="77777777" w:rsidR="00BB45DF" w:rsidRPr="00AD1F16" w:rsidRDefault="00BB45DF" w:rsidP="00BB45DF">
      <w:pPr>
        <w:suppressAutoHyphens/>
        <w:autoSpaceDN w:val="0"/>
        <w:ind w:left="720"/>
        <w:jc w:val="both"/>
        <w:textAlignment w:val="baseline"/>
        <w:rPr>
          <w:lang w:eastAsia="en-US"/>
        </w:rPr>
      </w:pPr>
    </w:p>
    <w:p w14:paraId="6D824C7F" w14:textId="77777777" w:rsidR="00BB45DF" w:rsidRDefault="00BB45DF" w:rsidP="00BB45DF">
      <w:pPr>
        <w:suppressAutoHyphens/>
        <w:autoSpaceDN w:val="0"/>
        <w:jc w:val="both"/>
        <w:textAlignment w:val="baseline"/>
        <w:rPr>
          <w:rFonts w:ascii="Calibri" w:hAnsi="Calibri"/>
          <w:b w:val="0"/>
          <w:sz w:val="22"/>
          <w:szCs w:val="22"/>
          <w:lang w:eastAsia="en-US"/>
        </w:rPr>
      </w:pPr>
      <w:r w:rsidRPr="00AD1F16">
        <w:rPr>
          <w:b w:val="0"/>
          <w:lang w:eastAsia="en-US"/>
        </w:rPr>
        <w:t>Juhatus on seisukohal, et kui kaitsja astub menetlusse kohtumenetluse etapil, siis tule</w:t>
      </w:r>
      <w:r>
        <w:rPr>
          <w:b w:val="0"/>
          <w:lang w:eastAsia="en-US"/>
        </w:rPr>
        <w:t>b</w:t>
      </w:r>
      <w:r w:rsidRPr="00AD1F16">
        <w:rPr>
          <w:b w:val="0"/>
          <w:lang w:eastAsia="en-US"/>
        </w:rPr>
        <w:t xml:space="preserve"> menetlusosaliseks lisamist taotleda kohtult, mitte kohtuväliselt </w:t>
      </w:r>
      <w:proofErr w:type="spellStart"/>
      <w:r w:rsidRPr="00AD1F16">
        <w:rPr>
          <w:b w:val="0"/>
          <w:lang w:eastAsia="en-US"/>
        </w:rPr>
        <w:t>menetlejalt</w:t>
      </w:r>
      <w:proofErr w:type="spellEnd"/>
      <w:r w:rsidRPr="00AD1F16">
        <w:rPr>
          <w:b w:val="0"/>
          <w:lang w:eastAsia="en-US"/>
        </w:rPr>
        <w:t xml:space="preserve">. </w:t>
      </w:r>
      <w:r>
        <w:rPr>
          <w:b w:val="0"/>
          <w:lang w:eastAsia="en-US"/>
        </w:rPr>
        <w:t xml:space="preserve">Juurdepääsu lubamise konkreetsele menetlusasjale e-toimikus saab otsustada menetleja, kelleks kohtumenetluses on kohus. </w:t>
      </w:r>
    </w:p>
    <w:p w14:paraId="3ABD9235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rFonts w:ascii="Calibri" w:hAnsi="Calibri"/>
          <w:b w:val="0"/>
          <w:sz w:val="22"/>
          <w:szCs w:val="22"/>
          <w:lang w:eastAsia="en-US"/>
        </w:rPr>
      </w:pPr>
    </w:p>
    <w:p w14:paraId="159ECEA7" w14:textId="77777777" w:rsidR="00BB45DF" w:rsidRDefault="00BB45DF" w:rsidP="00BB45D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lastRenderedPageBreak/>
        <w:t>Kas kaitsjal on kohustus tutvuda ja tutvustada kriminaalasja toimikuid kliendile olukorras</w:t>
      </w:r>
      <w:r>
        <w:rPr>
          <w:lang w:eastAsia="en-US"/>
        </w:rPr>
        <w:t>,</w:t>
      </w:r>
      <w:r w:rsidRPr="00AD1F16">
        <w:rPr>
          <w:lang w:eastAsia="en-US"/>
        </w:rPr>
        <w:t xml:space="preserve"> kui asi on juba kohtu menetluses (eelistungid on juba peetud)?</w:t>
      </w:r>
    </w:p>
    <w:p w14:paraId="086A9684" w14:textId="77777777" w:rsidR="00BB45DF" w:rsidRPr="00AD1F16" w:rsidRDefault="00BB45DF" w:rsidP="00BB45DF">
      <w:pPr>
        <w:suppressAutoHyphens/>
        <w:autoSpaceDN w:val="0"/>
        <w:ind w:left="720"/>
        <w:jc w:val="both"/>
        <w:textAlignment w:val="baseline"/>
        <w:rPr>
          <w:lang w:eastAsia="en-US"/>
        </w:rPr>
      </w:pPr>
    </w:p>
    <w:p w14:paraId="7C1D021E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b w:val="0"/>
          <w:lang w:eastAsia="en-US"/>
        </w:rPr>
        <w:t>KrMS § 47 lg</w:t>
      </w:r>
      <w:r>
        <w:rPr>
          <w:b w:val="0"/>
          <w:lang w:eastAsia="en-US"/>
        </w:rPr>
        <w:t>-st</w:t>
      </w:r>
      <w:r w:rsidRPr="00AD1F16">
        <w:rPr>
          <w:b w:val="0"/>
          <w:lang w:eastAsia="en-US"/>
        </w:rPr>
        <w:t xml:space="preserve"> 2 tuleneb, et kaitsja on kohustatud kasutama kõiki kaitsmisvahendeid ja -viise, mis ei ole seadusega keelatud, et selgitada kaitsealust õigustavad, </w:t>
      </w:r>
      <w:proofErr w:type="spellStart"/>
      <w:r w:rsidRPr="00AD1F16">
        <w:rPr>
          <w:b w:val="0"/>
          <w:lang w:eastAsia="en-US"/>
        </w:rPr>
        <w:t>mittesüüstavad</w:t>
      </w:r>
      <w:proofErr w:type="spellEnd"/>
      <w:r w:rsidRPr="00AD1F16">
        <w:rPr>
          <w:b w:val="0"/>
          <w:lang w:eastAsia="en-US"/>
        </w:rPr>
        <w:t xml:space="preserve"> ja karistust kergendavad asjaolud, ning andma talle muud kriminaalasjas vajalikku õigusabi. Kaitsmisvahendite kasutamine ja kaitsestrateegia väljatöötamine eeldab juhatuse hinnangul toimikuga tutvumist, olenemata sellest, kas asi on juba kohtusse jõudnud</w:t>
      </w:r>
      <w:r>
        <w:rPr>
          <w:b w:val="0"/>
          <w:lang w:eastAsia="en-US"/>
        </w:rPr>
        <w:t xml:space="preserve">, ning on tingimata vajalik efektiivse </w:t>
      </w:r>
      <w:r w:rsidRPr="00AD1F16">
        <w:rPr>
          <w:b w:val="0"/>
          <w:lang w:eastAsia="en-US"/>
        </w:rPr>
        <w:t>kaitsefunktsiooni täit</w:t>
      </w:r>
      <w:r>
        <w:rPr>
          <w:b w:val="0"/>
          <w:lang w:eastAsia="en-US"/>
        </w:rPr>
        <w:t>miseks</w:t>
      </w:r>
      <w:r w:rsidRPr="00AD1F16">
        <w:rPr>
          <w:b w:val="0"/>
          <w:lang w:eastAsia="en-US"/>
        </w:rPr>
        <w:t xml:space="preserve">. </w:t>
      </w:r>
    </w:p>
    <w:p w14:paraId="7FE733A1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rFonts w:ascii="Calibri" w:hAnsi="Calibri"/>
          <w:b w:val="0"/>
          <w:sz w:val="22"/>
          <w:szCs w:val="22"/>
          <w:lang w:eastAsia="en-US"/>
        </w:rPr>
      </w:pPr>
    </w:p>
    <w:p w14:paraId="63B495B5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b w:val="0"/>
          <w:lang w:eastAsia="en-US"/>
        </w:rPr>
        <w:t>Kui kaitsja liitub menetlusega kohtumenetluse etapil, siis võib eeldada, et toimik</w:t>
      </w:r>
      <w:r>
        <w:rPr>
          <w:b w:val="0"/>
          <w:lang w:eastAsia="en-US"/>
        </w:rPr>
        <w:t>ut</w:t>
      </w:r>
      <w:r w:rsidRPr="00AD1F16">
        <w:rPr>
          <w:b w:val="0"/>
          <w:lang w:eastAsia="en-US"/>
        </w:rPr>
        <w:t xml:space="preserve"> on juba süüdistatavale tutvustatud endise kaitsja poolt. Seda mõtet toetab KrMS § 224</w:t>
      </w:r>
      <w:r>
        <w:rPr>
          <w:b w:val="0"/>
          <w:lang w:eastAsia="en-US"/>
        </w:rPr>
        <w:t xml:space="preserve">       </w:t>
      </w:r>
      <w:r w:rsidRPr="00AD1F16">
        <w:rPr>
          <w:b w:val="0"/>
          <w:lang w:eastAsia="en-US"/>
        </w:rPr>
        <w:t xml:space="preserve"> lg 1 ja 224</w:t>
      </w:r>
      <w:r w:rsidRPr="00AD1F16">
        <w:rPr>
          <w:b w:val="0"/>
          <w:vertAlign w:val="superscript"/>
          <w:lang w:eastAsia="en-US"/>
        </w:rPr>
        <w:t>1</w:t>
      </w:r>
      <w:r w:rsidRPr="00AD1F16">
        <w:rPr>
          <w:b w:val="0"/>
          <w:lang w:eastAsia="en-US"/>
        </w:rPr>
        <w:t xml:space="preserve"> lg 1. Sellisel juhul ei ole toimiku materjalide korduv tutvustamine vajalik. KrMS § 35 lg 2 sätestab, et süüdistataval on kahtlustatava õigused ja kohustused ning süüdistataval on õigus tutvuda kaitsja vahendusel kriminaaltoimikuga ja võtta osa kohtulikust arutamisest. </w:t>
      </w:r>
      <w:r>
        <w:rPr>
          <w:b w:val="0"/>
          <w:lang w:eastAsia="en-US"/>
        </w:rPr>
        <w:t>Seega k</w:t>
      </w:r>
      <w:r w:rsidRPr="00AD1F16">
        <w:rPr>
          <w:b w:val="0"/>
          <w:lang w:eastAsia="en-US"/>
        </w:rPr>
        <w:t>ui toimikut ei ol</w:t>
      </w:r>
      <w:r>
        <w:rPr>
          <w:b w:val="0"/>
          <w:lang w:eastAsia="en-US"/>
        </w:rPr>
        <w:t>e</w:t>
      </w:r>
      <w:r w:rsidRPr="00AD1F16">
        <w:rPr>
          <w:b w:val="0"/>
          <w:lang w:eastAsia="en-US"/>
        </w:rPr>
        <w:t xml:space="preserve"> kliendile varasemalt tutvustatud, </w:t>
      </w:r>
      <w:r>
        <w:rPr>
          <w:b w:val="0"/>
          <w:lang w:eastAsia="en-US"/>
        </w:rPr>
        <w:t>tuleb</w:t>
      </w:r>
      <w:r w:rsidRPr="00AD1F16">
        <w:rPr>
          <w:b w:val="0"/>
          <w:lang w:eastAsia="en-US"/>
        </w:rPr>
        <w:t xml:space="preserve"> kaitsja</w:t>
      </w:r>
      <w:r>
        <w:rPr>
          <w:b w:val="0"/>
          <w:lang w:eastAsia="en-US"/>
        </w:rPr>
        <w:t>l</w:t>
      </w:r>
      <w:r w:rsidRPr="00AD1F16">
        <w:rPr>
          <w:b w:val="0"/>
          <w:lang w:eastAsia="en-US"/>
        </w:rPr>
        <w:t xml:space="preserve"> kliendile toimiku materjale tutvusta</w:t>
      </w:r>
      <w:r>
        <w:rPr>
          <w:b w:val="0"/>
          <w:lang w:eastAsia="en-US"/>
        </w:rPr>
        <w:t>da</w:t>
      </w:r>
      <w:r w:rsidRPr="00AD1F16">
        <w:rPr>
          <w:b w:val="0"/>
          <w:lang w:eastAsia="en-US"/>
        </w:rPr>
        <w:t xml:space="preserve">. </w:t>
      </w:r>
    </w:p>
    <w:p w14:paraId="21E02217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2E887DF6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>
        <w:rPr>
          <w:b w:val="0"/>
          <w:lang w:eastAsia="en-US"/>
        </w:rPr>
        <w:t xml:space="preserve">Samas tuleb arvestada sellega, et kuigi korduva toimiku tutvustamise kohustust ei ole, siis kaitsealusel endal toimikule ligipääs puudub. See võib tingida vajaduse ka korduvaks toimikuga tutvumiseks või tutvustamiseks. </w:t>
      </w:r>
    </w:p>
    <w:p w14:paraId="45550349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rFonts w:ascii="Calibri" w:hAnsi="Calibri"/>
          <w:b w:val="0"/>
          <w:sz w:val="22"/>
          <w:szCs w:val="22"/>
          <w:lang w:eastAsia="en-US"/>
        </w:rPr>
      </w:pPr>
    </w:p>
    <w:p w14:paraId="696BD4D8" w14:textId="77777777" w:rsidR="00BB45DF" w:rsidRDefault="00BB45DF" w:rsidP="00BB45DF">
      <w:pPr>
        <w:numPr>
          <w:ilvl w:val="0"/>
          <w:numId w:val="3"/>
        </w:num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lang w:eastAsia="en-US"/>
        </w:rPr>
        <w:t xml:space="preserve">Kas kaitsjal on õigus saada toimikutega tutvumise, kliendile tutvustamise ja kaitsestrateegia kujundamise eest tasu (kohtuväline </w:t>
      </w:r>
      <w:r>
        <w:rPr>
          <w:lang w:eastAsia="en-US"/>
        </w:rPr>
        <w:t xml:space="preserve">(mõeldud on „kohtueelne“) </w:t>
      </w:r>
      <w:r w:rsidRPr="00AD1F16">
        <w:rPr>
          <w:lang w:eastAsia="en-US"/>
        </w:rPr>
        <w:t>menetlus) kui asi on kohtu menetluses, kuid toimikud väljastab prokuratuur?</w:t>
      </w:r>
      <w:r w:rsidRPr="00AD1F16">
        <w:rPr>
          <w:b w:val="0"/>
          <w:lang w:eastAsia="en-US"/>
        </w:rPr>
        <w:t xml:space="preserve"> </w:t>
      </w:r>
    </w:p>
    <w:p w14:paraId="68D14DB0" w14:textId="77777777" w:rsidR="00BB45DF" w:rsidRDefault="00BB45DF" w:rsidP="00BB45DF">
      <w:pPr>
        <w:suppressAutoHyphens/>
        <w:autoSpaceDN w:val="0"/>
        <w:ind w:left="720"/>
        <w:jc w:val="both"/>
        <w:textAlignment w:val="baseline"/>
        <w:rPr>
          <w:rFonts w:ascii="Calibri" w:hAnsi="Calibri"/>
          <w:b w:val="0"/>
          <w:sz w:val="22"/>
          <w:szCs w:val="22"/>
          <w:lang w:eastAsia="en-US"/>
        </w:rPr>
      </w:pPr>
    </w:p>
    <w:p w14:paraId="409E565E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>
        <w:rPr>
          <w:b w:val="0"/>
          <w:lang w:eastAsia="en-US"/>
        </w:rPr>
        <w:t>Tasustamist kohtuliku menetluse kestel</w:t>
      </w:r>
      <w:r w:rsidRPr="00AD1F16">
        <w:rPr>
          <w:b w:val="0"/>
          <w:lang w:eastAsia="en-US"/>
        </w:rPr>
        <w:t xml:space="preserve"> on arutanud RÕA komisjon 08.06.2018 istungil. Probleem puudutas tasustamist, kui asi on kohtumenetluses</w:t>
      </w:r>
      <w:r>
        <w:rPr>
          <w:b w:val="0"/>
          <w:lang w:eastAsia="en-US"/>
        </w:rPr>
        <w:t>, kuid kokkuleppe sõlmimiseks algatatakse läbirääkimised prokuratuuris.</w:t>
      </w:r>
      <w:r w:rsidRPr="00AD1F16">
        <w:rPr>
          <w:b w:val="0"/>
          <w:lang w:eastAsia="en-US"/>
        </w:rPr>
        <w:t xml:space="preserve"> Komisjon järeld</w:t>
      </w:r>
      <w:r>
        <w:rPr>
          <w:b w:val="0"/>
          <w:lang w:eastAsia="en-US"/>
        </w:rPr>
        <w:t>as</w:t>
      </w:r>
      <w:r w:rsidRPr="00AD1F16">
        <w:rPr>
          <w:b w:val="0"/>
          <w:lang w:eastAsia="en-US"/>
        </w:rPr>
        <w:t>, et kui toiming toimub kohtumenetluse kestel, siis peab tasutaotluse osas tegema otsustuse kohus, kuna asi on tema menetluses, olenemata faktist, et kokkuleppe sõlmimine toimub teise pool</w:t>
      </w:r>
      <w:r>
        <w:rPr>
          <w:b w:val="0"/>
          <w:lang w:eastAsia="en-US"/>
        </w:rPr>
        <w:t>ega</w:t>
      </w:r>
      <w:r w:rsidRPr="00AD1F16">
        <w:rPr>
          <w:b w:val="0"/>
          <w:lang w:eastAsia="en-US"/>
        </w:rPr>
        <w:t xml:space="preserve">. Kui kohus keeldub tasutaotlust rahuldamast, siis on advokaadil võimalik esitada määruskaebus. Kohtumenetluse kestel toimunud </w:t>
      </w:r>
      <w:r>
        <w:rPr>
          <w:b w:val="0"/>
          <w:lang w:eastAsia="en-US"/>
        </w:rPr>
        <w:t>toimingud</w:t>
      </w:r>
      <w:r w:rsidRPr="00AD1F16">
        <w:rPr>
          <w:b w:val="0"/>
          <w:lang w:eastAsia="en-US"/>
        </w:rPr>
        <w:t xml:space="preserve"> on tasustatavad </w:t>
      </w:r>
      <w:r>
        <w:rPr>
          <w:b w:val="0"/>
          <w:lang w:eastAsia="en-US"/>
        </w:rPr>
        <w:t xml:space="preserve">justiitsministri kehtestatud määruse nr 16 järgi </w:t>
      </w:r>
      <w:r w:rsidRPr="00AD1F16">
        <w:rPr>
          <w:b w:val="0"/>
          <w:lang w:eastAsia="en-US"/>
        </w:rPr>
        <w:t xml:space="preserve">§ 6 </w:t>
      </w:r>
      <w:r>
        <w:rPr>
          <w:b w:val="0"/>
          <w:lang w:eastAsia="en-US"/>
        </w:rPr>
        <w:t>lg</w:t>
      </w:r>
      <w:r w:rsidRPr="00AD1F16">
        <w:rPr>
          <w:b w:val="0"/>
          <w:lang w:eastAsia="en-US"/>
        </w:rPr>
        <w:t xml:space="preserve"> 3 alusel ehk neile kehtib piirmäär 300 eurot ühes kohtuastmes</w:t>
      </w:r>
      <w:r>
        <w:rPr>
          <w:b w:val="0"/>
          <w:lang w:eastAsia="en-US"/>
        </w:rPr>
        <w:t>, mida on võimalik erilise töömahukuse korral suurendada.</w:t>
      </w:r>
    </w:p>
    <w:p w14:paraId="1564308A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3FA6D02F" w14:textId="77777777" w:rsidR="00BB45DF" w:rsidRDefault="00BB45DF" w:rsidP="00BB45DF">
      <w:pPr>
        <w:numPr>
          <w:ilvl w:val="0"/>
          <w:numId w:val="4"/>
        </w:num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t>Kes peab hüvitama toimikutega tutvumise, kliendile tutvustamise ja kaitsestrateegia kujundamise eest tasu</w:t>
      </w:r>
      <w:r>
        <w:rPr>
          <w:lang w:eastAsia="en-US"/>
        </w:rPr>
        <w:t>,</w:t>
      </w:r>
      <w:r w:rsidRPr="00AD1F16">
        <w:rPr>
          <w:lang w:eastAsia="en-US"/>
        </w:rPr>
        <w:t xml:space="preserve"> kui asi on kohtu menetluses, kuid toimikud annab kaitsjale prokuratuur?</w:t>
      </w:r>
    </w:p>
    <w:p w14:paraId="7D8D81CC" w14:textId="77777777" w:rsidR="00BB45DF" w:rsidRPr="00AD1F16" w:rsidRDefault="00BB45DF" w:rsidP="00BB45DF">
      <w:pPr>
        <w:suppressAutoHyphens/>
        <w:autoSpaceDN w:val="0"/>
        <w:ind w:left="1080"/>
        <w:jc w:val="both"/>
        <w:textAlignment w:val="baseline"/>
        <w:rPr>
          <w:lang w:eastAsia="en-US"/>
        </w:rPr>
      </w:pPr>
    </w:p>
    <w:p w14:paraId="38B97070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b w:val="0"/>
          <w:lang w:eastAsia="en-US"/>
        </w:rPr>
        <w:t>Juhatus selgitab, et kui asi on jõudnud kohtumenetlusse, siis tuleb tasutaotlus esitada kohtule</w:t>
      </w:r>
      <w:r w:rsidRPr="003C28C2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>ja s</w:t>
      </w:r>
      <w:r w:rsidRPr="00AD1F16">
        <w:rPr>
          <w:b w:val="0"/>
          <w:lang w:eastAsia="en-US"/>
        </w:rPr>
        <w:t>ellist lähenemist toetab ka RÕS § 22 lg 1</w:t>
      </w:r>
      <w:r>
        <w:rPr>
          <w:b w:val="0"/>
          <w:lang w:eastAsia="en-US"/>
        </w:rPr>
        <w:t>.</w:t>
      </w:r>
      <w:r w:rsidRPr="00AD1F16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Tähtsust </w:t>
      </w:r>
      <w:r w:rsidRPr="00AD1F16">
        <w:rPr>
          <w:b w:val="0"/>
          <w:lang w:eastAsia="en-US"/>
        </w:rPr>
        <w:t xml:space="preserve">ei oma, kes füüsiliselt toimikuid väljastab. </w:t>
      </w:r>
    </w:p>
    <w:p w14:paraId="3D1B3FF2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5970F6C9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>
        <w:rPr>
          <w:b w:val="0"/>
          <w:lang w:eastAsia="en-US"/>
        </w:rPr>
        <w:t>Kuna k</w:t>
      </w:r>
      <w:r w:rsidRPr="00AD1F16">
        <w:rPr>
          <w:b w:val="0"/>
          <w:lang w:eastAsia="en-US"/>
        </w:rPr>
        <w:t xml:space="preserve">riminaalasja arutatakse kohtus </w:t>
      </w:r>
      <w:proofErr w:type="spellStart"/>
      <w:r w:rsidRPr="00AD1F16">
        <w:rPr>
          <w:b w:val="0"/>
          <w:lang w:eastAsia="en-US"/>
        </w:rPr>
        <w:t>üldmenetluse</w:t>
      </w:r>
      <w:proofErr w:type="spellEnd"/>
      <w:r w:rsidRPr="00AD1F16">
        <w:rPr>
          <w:b w:val="0"/>
          <w:lang w:eastAsia="en-US"/>
        </w:rPr>
        <w:t xml:space="preserve"> korras, siis ei saa kohtul olla</w:t>
      </w:r>
      <w:r>
        <w:rPr>
          <w:b w:val="0"/>
          <w:lang w:eastAsia="en-US"/>
        </w:rPr>
        <w:t xml:space="preserve"> </w:t>
      </w:r>
      <w:r w:rsidRPr="00AD1F16">
        <w:rPr>
          <w:b w:val="0"/>
          <w:lang w:eastAsia="en-US"/>
        </w:rPr>
        <w:t>kriminaaltoimiku koopiat, mida kaitsjale väljastada. Seetõttu väljastab kohtumenetluse staadiumis uuele kaitsjale vajadusel kriminaaltoimiku koopia prokuratuur.</w:t>
      </w:r>
    </w:p>
    <w:p w14:paraId="5DB86EFC" w14:textId="77777777" w:rsidR="00BB45DF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07869DF4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</w:p>
    <w:p w14:paraId="52665C67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b w:val="0"/>
          <w:lang w:eastAsia="en-US"/>
        </w:rPr>
      </w:pPr>
      <w:r w:rsidRPr="00AD1F16">
        <w:rPr>
          <w:b w:val="0"/>
          <w:lang w:eastAsia="en-US"/>
        </w:rPr>
        <w:t>Juhatus</w:t>
      </w:r>
    </w:p>
    <w:p w14:paraId="3BF3AF30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lang w:eastAsia="en-US"/>
        </w:rPr>
      </w:pPr>
    </w:p>
    <w:p w14:paraId="0E94A121" w14:textId="77777777" w:rsidR="00BB45DF" w:rsidRDefault="00BB45DF" w:rsidP="00BB45DF">
      <w:p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t>O T S U S T A S:</w:t>
      </w:r>
    </w:p>
    <w:p w14:paraId="76F6168C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lang w:eastAsia="en-US"/>
        </w:rPr>
      </w:pPr>
    </w:p>
    <w:p w14:paraId="59CBF577" w14:textId="77777777" w:rsidR="00BB45DF" w:rsidRPr="00AD1F16" w:rsidRDefault="00BB45DF" w:rsidP="00BB45DF">
      <w:pPr>
        <w:suppressAutoHyphens/>
        <w:autoSpaceDN w:val="0"/>
        <w:jc w:val="both"/>
        <w:textAlignment w:val="baseline"/>
        <w:rPr>
          <w:lang w:eastAsia="en-US"/>
        </w:rPr>
      </w:pPr>
      <w:r w:rsidRPr="00AD1F16">
        <w:rPr>
          <w:lang w:eastAsia="en-US"/>
        </w:rPr>
        <w:t>Teha juhatuse seisukoht juhatuse poole pöördunud advokaadile teatavaks.</w:t>
      </w:r>
    </w:p>
    <w:p w14:paraId="0094B2C5" w14:textId="77777777" w:rsidR="00110329" w:rsidRDefault="00110329"/>
    <w:sectPr w:rsidR="0011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0E6"/>
    <w:multiLevelType w:val="multilevel"/>
    <w:tmpl w:val="9FE6D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5E660B"/>
    <w:multiLevelType w:val="multilevel"/>
    <w:tmpl w:val="0DDC02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1F1E26"/>
    <w:multiLevelType w:val="multilevel"/>
    <w:tmpl w:val="8196ED1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03216"/>
    <w:multiLevelType w:val="multilevel"/>
    <w:tmpl w:val="73BEDCB2"/>
    <w:lvl w:ilvl="0">
      <w:start w:val="5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E28002E"/>
    <w:multiLevelType w:val="multilevel"/>
    <w:tmpl w:val="DF0C67D8"/>
    <w:lvl w:ilvl="0">
      <w:start w:val="3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8925385">
    <w:abstractNumId w:val="1"/>
  </w:num>
  <w:num w:numId="2" w16cid:durableId="511071577">
    <w:abstractNumId w:val="2"/>
  </w:num>
  <w:num w:numId="3" w16cid:durableId="363019164">
    <w:abstractNumId w:val="4"/>
  </w:num>
  <w:num w:numId="4" w16cid:durableId="326979355">
    <w:abstractNumId w:val="3"/>
  </w:num>
  <w:num w:numId="5" w16cid:durableId="626155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DF"/>
    <w:rsid w:val="00110329"/>
    <w:rsid w:val="005F7A02"/>
    <w:rsid w:val="00B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F912"/>
  <w15:chartTrackingRefBased/>
  <w15:docId w15:val="{D96E5834-A792-42AD-B69F-1FEF4BF7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BB45D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B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836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Eesti Advo</dc:creator>
  <cp:keywords/>
  <dc:description/>
  <cp:lastModifiedBy>Jane Suur</cp:lastModifiedBy>
  <cp:revision>2</cp:revision>
  <dcterms:created xsi:type="dcterms:W3CDTF">2019-04-08T08:01:00Z</dcterms:created>
  <dcterms:modified xsi:type="dcterms:W3CDTF">2023-09-29T12:30:00Z</dcterms:modified>
</cp:coreProperties>
</file>