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BC0FD" w14:textId="77777777" w:rsidR="009B13DB" w:rsidRPr="009C669A" w:rsidRDefault="009B13DB" w:rsidP="009B13DB">
      <w:pPr>
        <w:rPr>
          <w:color w:val="000000" w:themeColor="text1"/>
        </w:rPr>
      </w:pPr>
      <w:r w:rsidRPr="009C669A">
        <w:rPr>
          <w:b w:val="0"/>
          <w:bCs/>
          <w:color w:val="000000" w:themeColor="text1"/>
        </w:rPr>
        <w:t>EESTI ADVOKATUURI JUHATUS</w:t>
      </w:r>
    </w:p>
    <w:p w14:paraId="17878A58" w14:textId="77777777" w:rsidR="009B13DB" w:rsidRPr="009C669A" w:rsidRDefault="009B13DB" w:rsidP="009B13DB">
      <w:pPr>
        <w:jc w:val="both"/>
        <w:rPr>
          <w:b w:val="0"/>
          <w:bCs/>
          <w:color w:val="000000" w:themeColor="text1"/>
        </w:rPr>
      </w:pPr>
      <w:r w:rsidRPr="009C669A">
        <w:rPr>
          <w:b w:val="0"/>
          <w:bCs/>
          <w:color w:val="000000" w:themeColor="text1"/>
        </w:rPr>
        <w:t>ISTUNGI PROTOKOLL</w:t>
      </w:r>
    </w:p>
    <w:p w14:paraId="45D3230B" w14:textId="77777777" w:rsidR="009B13DB" w:rsidRPr="009C669A" w:rsidRDefault="009B13DB" w:rsidP="009B13DB">
      <w:pPr>
        <w:jc w:val="both"/>
        <w:rPr>
          <w:b w:val="0"/>
          <w:bCs/>
          <w:color w:val="000000" w:themeColor="text1"/>
        </w:rPr>
      </w:pPr>
      <w:r>
        <w:rPr>
          <w:b w:val="0"/>
          <w:bCs/>
          <w:color w:val="000000" w:themeColor="text1"/>
        </w:rPr>
        <w:t>2</w:t>
      </w:r>
      <w:r w:rsidRPr="009C669A">
        <w:rPr>
          <w:b w:val="0"/>
          <w:bCs/>
          <w:color w:val="000000" w:themeColor="text1"/>
        </w:rPr>
        <w:t xml:space="preserve">. </w:t>
      </w:r>
      <w:r>
        <w:rPr>
          <w:b w:val="0"/>
          <w:bCs/>
          <w:color w:val="000000" w:themeColor="text1"/>
        </w:rPr>
        <w:t>oktoober</w:t>
      </w:r>
      <w:r w:rsidRPr="009C669A">
        <w:rPr>
          <w:b w:val="0"/>
          <w:bCs/>
          <w:color w:val="000000" w:themeColor="text1"/>
        </w:rPr>
        <w:t xml:space="preserve"> 2018. a nr </w:t>
      </w:r>
      <w:r>
        <w:rPr>
          <w:b w:val="0"/>
          <w:bCs/>
          <w:color w:val="000000" w:themeColor="text1"/>
        </w:rPr>
        <w:t>20</w:t>
      </w:r>
    </w:p>
    <w:p w14:paraId="4FF42500" w14:textId="77777777" w:rsidR="009B13DB" w:rsidRPr="009C669A" w:rsidRDefault="009B13DB" w:rsidP="009B13DB">
      <w:pPr>
        <w:jc w:val="both"/>
        <w:rPr>
          <w:b w:val="0"/>
          <w:bCs/>
          <w:color w:val="000000" w:themeColor="text1"/>
        </w:rPr>
      </w:pPr>
      <w:r>
        <w:rPr>
          <w:b w:val="0"/>
          <w:bCs/>
          <w:color w:val="000000" w:themeColor="text1"/>
        </w:rPr>
        <w:t>Tallinn</w:t>
      </w:r>
    </w:p>
    <w:p w14:paraId="643C6031" w14:textId="77777777" w:rsidR="000A5D12" w:rsidRDefault="000A5D12" w:rsidP="000A5D12">
      <w:pPr>
        <w:keepNext/>
        <w:jc w:val="both"/>
        <w:outlineLvl w:val="0"/>
        <w:rPr>
          <w:bCs/>
          <w:color w:val="000000"/>
          <w:kern w:val="32"/>
          <w:szCs w:val="32"/>
          <w:lang w:eastAsia="x-none"/>
        </w:rPr>
      </w:pPr>
    </w:p>
    <w:p w14:paraId="7B4326EB" w14:textId="77777777" w:rsidR="000A5D12" w:rsidRDefault="000A5D12" w:rsidP="000A5D12">
      <w:pPr>
        <w:keepNext/>
        <w:jc w:val="both"/>
        <w:outlineLvl w:val="0"/>
        <w:rPr>
          <w:bCs/>
          <w:color w:val="000000"/>
          <w:kern w:val="32"/>
          <w:szCs w:val="32"/>
          <w:lang w:eastAsia="x-none"/>
        </w:rPr>
      </w:pPr>
    </w:p>
    <w:p w14:paraId="5F3A5E76" w14:textId="77777777" w:rsidR="00DD388F" w:rsidRDefault="00DD388F" w:rsidP="009B13DB">
      <w:pPr>
        <w:jc w:val="both"/>
        <w:rPr>
          <w:bCs/>
          <w:color w:val="000000"/>
        </w:rPr>
      </w:pPr>
    </w:p>
    <w:p w14:paraId="5A38ED85" w14:textId="4230A518" w:rsidR="009B13DB" w:rsidRPr="008A7659" w:rsidRDefault="009B13DB" w:rsidP="009B13DB">
      <w:pPr>
        <w:jc w:val="both"/>
        <w:rPr>
          <w:bCs/>
          <w:color w:val="000000"/>
        </w:rPr>
      </w:pPr>
      <w:r w:rsidRPr="008A7659">
        <w:rPr>
          <w:bCs/>
          <w:color w:val="000000"/>
        </w:rPr>
        <w:t>Kriminaalpoliitika põhialused aastani 2030</w:t>
      </w:r>
    </w:p>
    <w:p w14:paraId="54FCF3BD" w14:textId="77777777" w:rsidR="009B13DB" w:rsidRPr="008A7659" w:rsidRDefault="009B13DB" w:rsidP="009B13DB">
      <w:pPr>
        <w:jc w:val="both"/>
        <w:rPr>
          <w:bCs/>
          <w:color w:val="000000"/>
        </w:rPr>
      </w:pPr>
    </w:p>
    <w:p w14:paraId="071F6D22" w14:textId="77777777" w:rsidR="009B13DB" w:rsidRPr="008A7659" w:rsidRDefault="009B13DB" w:rsidP="009B13DB">
      <w:pPr>
        <w:shd w:val="clear" w:color="auto" w:fill="FFFFFF"/>
        <w:jc w:val="both"/>
        <w:rPr>
          <w:rFonts w:ascii="Calibri" w:hAnsi="Calibri"/>
          <w:b w:val="0"/>
          <w:color w:val="212121"/>
        </w:rPr>
      </w:pPr>
      <w:r w:rsidRPr="008A7659">
        <w:rPr>
          <w:b w:val="0"/>
          <w:color w:val="212121"/>
        </w:rPr>
        <w:t>Advokatuurile saadeti arvamuse avaldamiseks eelnõu „Kriminaalpoliitika põhialused aastani 2030“. Kriminaalpoliitika põhialuste eelnõu näol on tegemist riigieelarve seaduse §-s 20 nimetatud strateegilise arengudokumendiga, mille võtab vastu Riigikogu. Tegu on riiklikke väärtusi kandva pikaajalise arengudokumendiga, millest madalama taseme poliitikadokumendid peavad lähtuma.</w:t>
      </w:r>
    </w:p>
    <w:p w14:paraId="5BAA722A" w14:textId="77777777" w:rsidR="009B13DB" w:rsidRPr="008A7659" w:rsidRDefault="009B13DB" w:rsidP="009B13DB">
      <w:pPr>
        <w:shd w:val="clear" w:color="auto" w:fill="FFFFFF"/>
        <w:jc w:val="both"/>
        <w:rPr>
          <w:rFonts w:ascii="Calibri" w:hAnsi="Calibri"/>
          <w:b w:val="0"/>
          <w:color w:val="212121"/>
        </w:rPr>
      </w:pPr>
      <w:r w:rsidRPr="008A7659">
        <w:rPr>
          <w:b w:val="0"/>
          <w:color w:val="212121"/>
        </w:rPr>
        <w:t> </w:t>
      </w:r>
    </w:p>
    <w:p w14:paraId="34EA93AB" w14:textId="77777777" w:rsidR="009B13DB" w:rsidRPr="002E2C84" w:rsidRDefault="009B13DB" w:rsidP="009B13DB">
      <w:pPr>
        <w:shd w:val="clear" w:color="auto" w:fill="FFFFFF"/>
        <w:jc w:val="both"/>
        <w:rPr>
          <w:rFonts w:ascii="Calibri" w:hAnsi="Calibri"/>
          <w:b w:val="0"/>
          <w:color w:val="212121"/>
        </w:rPr>
      </w:pPr>
      <w:r w:rsidRPr="002E2C84">
        <w:rPr>
          <w:b w:val="0"/>
          <w:iCs/>
          <w:color w:val="212121"/>
        </w:rPr>
        <w:t>Juhatus leiab, et kriminaalpoliitika põhialused ei peaks keskenduma üksnes alaealistele ja ohvrisõbralikkusele, vaid tähelepanu tuleb pöörata kõigi menetlusosaliste õiguste tagamisele. Kaitset vajavad ka menetlusaluste isikute ja nende professionaalsete esindajate huvid ja õigused. Kriminaalpoliitika põhialused tuleb sõnastada laiemalt, läbi õiglase kohtupidamise tagatiste. Samuti peaks eelnõusse lisama isikuõigusi kõige tugevamalt riivavate toimingute (jälitustegevuse ja kinnipidamise) reeglite ning järelevalve ülevaatamise</w:t>
      </w:r>
      <w:r>
        <w:rPr>
          <w:b w:val="0"/>
          <w:iCs/>
          <w:color w:val="212121"/>
        </w:rPr>
        <w:t xml:space="preserve"> vajaduse</w:t>
      </w:r>
      <w:r w:rsidRPr="002E2C84">
        <w:rPr>
          <w:b w:val="0"/>
          <w:iCs/>
          <w:color w:val="212121"/>
        </w:rPr>
        <w:t>.</w:t>
      </w:r>
    </w:p>
    <w:p w14:paraId="262FDBDE" w14:textId="77777777" w:rsidR="009B13DB" w:rsidRPr="002E2C84" w:rsidRDefault="009B13DB" w:rsidP="009B13DB">
      <w:pPr>
        <w:shd w:val="clear" w:color="auto" w:fill="FFFFFF"/>
        <w:jc w:val="both"/>
        <w:rPr>
          <w:rFonts w:ascii="Calibri" w:hAnsi="Calibri"/>
          <w:b w:val="0"/>
          <w:color w:val="212121"/>
        </w:rPr>
      </w:pPr>
      <w:r w:rsidRPr="002E2C84">
        <w:rPr>
          <w:b w:val="0"/>
          <w:iCs/>
          <w:color w:val="212121"/>
        </w:rPr>
        <w:t> </w:t>
      </w:r>
    </w:p>
    <w:p w14:paraId="151297D6" w14:textId="77777777" w:rsidR="009B13DB" w:rsidRPr="002E2C84" w:rsidRDefault="009B13DB" w:rsidP="009B13DB">
      <w:pPr>
        <w:shd w:val="clear" w:color="auto" w:fill="FFFFFF"/>
        <w:jc w:val="both"/>
        <w:rPr>
          <w:rFonts w:ascii="Calibri" w:hAnsi="Calibri"/>
          <w:b w:val="0"/>
          <w:color w:val="212121"/>
        </w:rPr>
      </w:pPr>
      <w:r>
        <w:rPr>
          <w:b w:val="0"/>
          <w:iCs/>
          <w:color w:val="212121"/>
        </w:rPr>
        <w:t>T</w:t>
      </w:r>
      <w:r w:rsidRPr="002E2C84">
        <w:rPr>
          <w:b w:val="0"/>
          <w:iCs/>
          <w:color w:val="212121"/>
        </w:rPr>
        <w:t>agada tuleb isikute kaitseõigus ja kliendisaladuse hoidmine, mis mh hõlmab advokaadibüroode läbiotsimist, advokaadi kinnipidamist ja ülekuulamist. Viimasel ajal on sagenenud juhtumid, mil riigivõim sekkub advokaadi ja kliendi suhtlusesse ja seetõttu on küsitav, kas isikutele on tagatud tõhus kaitseõigus. Ühelt poolt on konfidentsiaalsus advokaadile seadusega antud kutsetegevuse tagatis ja teiselt poolt kliendile seadusega antud õigus. Konfidentsiaalsuse</w:t>
      </w:r>
      <w:r w:rsidRPr="002E2C84">
        <w:rPr>
          <w:bCs/>
          <w:iCs/>
          <w:color w:val="212121"/>
        </w:rPr>
        <w:t> </w:t>
      </w:r>
      <w:r w:rsidRPr="002E2C84">
        <w:rPr>
          <w:b w:val="0"/>
          <w:iCs/>
          <w:color w:val="212121"/>
        </w:rPr>
        <w:t>eesmärk on julgustada isikuid õigusteenuse, sealhulgas usaldusel põhineva õigusteenuse, kasutamisele. Erandid konfidentsiaalse teabe avaldamiseks peavad olema sätestatud väga piiratud juhtudeks, kusjuures EIK praktikast tulenevalt  peavad erandid olema selged ja kehtestada tuleb vajalikud tagatised. Hetkel kehtiv regulatsioon vajab täpsustamist.</w:t>
      </w:r>
    </w:p>
    <w:p w14:paraId="0557AB76" w14:textId="77777777" w:rsidR="009B13DB" w:rsidRPr="002E2C84" w:rsidRDefault="009B13DB" w:rsidP="009B13DB">
      <w:pPr>
        <w:shd w:val="clear" w:color="auto" w:fill="FFFFFF"/>
        <w:jc w:val="both"/>
        <w:rPr>
          <w:rFonts w:ascii="Calibri" w:hAnsi="Calibri"/>
          <w:b w:val="0"/>
          <w:color w:val="212121"/>
        </w:rPr>
      </w:pPr>
      <w:r w:rsidRPr="002E2C84">
        <w:rPr>
          <w:b w:val="0"/>
          <w:iCs/>
          <w:color w:val="212121"/>
        </w:rPr>
        <w:t> </w:t>
      </w:r>
    </w:p>
    <w:p w14:paraId="0F59829F" w14:textId="77777777" w:rsidR="009B13DB" w:rsidRPr="002E2C84" w:rsidRDefault="009B13DB" w:rsidP="009B13DB">
      <w:pPr>
        <w:shd w:val="clear" w:color="auto" w:fill="FFFFFF"/>
        <w:jc w:val="both"/>
        <w:rPr>
          <w:rFonts w:ascii="Calibri" w:hAnsi="Calibri"/>
          <w:b w:val="0"/>
          <w:color w:val="212121"/>
        </w:rPr>
      </w:pPr>
      <w:r w:rsidRPr="002E2C84">
        <w:rPr>
          <w:b w:val="0"/>
          <w:iCs/>
          <w:color w:val="212121"/>
        </w:rPr>
        <w:t xml:space="preserve">„Kriminaalpoliitika fookusteemade“ all seatakse eesmärgiks digimenetlusele üleminek (vt eelnõu lk 22). </w:t>
      </w:r>
      <w:r>
        <w:rPr>
          <w:b w:val="0"/>
          <w:iCs/>
          <w:color w:val="212121"/>
        </w:rPr>
        <w:t>Me</w:t>
      </w:r>
      <w:r w:rsidRPr="002E2C84">
        <w:rPr>
          <w:b w:val="0"/>
          <w:iCs/>
          <w:color w:val="212121"/>
        </w:rPr>
        <w:t>netluse digitaliseerimisel</w:t>
      </w:r>
      <w:r>
        <w:rPr>
          <w:b w:val="0"/>
          <w:iCs/>
          <w:color w:val="212121"/>
        </w:rPr>
        <w:t xml:space="preserve"> tuleb</w:t>
      </w:r>
      <w:r w:rsidRPr="002E2C84">
        <w:rPr>
          <w:b w:val="0"/>
          <w:iCs/>
          <w:color w:val="212121"/>
        </w:rPr>
        <w:t xml:space="preserve"> arvesse võtta, et menetlusosalistele tuleks seejuures tagada võrdsed võimalused. Hetkel toimuva menetluse digitaliseerimise tulemusena on kohtute ja prokuratuuri kasutuses </w:t>
      </w:r>
      <w:r>
        <w:rPr>
          <w:b w:val="0"/>
          <w:iCs/>
          <w:color w:val="212121"/>
        </w:rPr>
        <w:t>paljud</w:t>
      </w:r>
      <w:r w:rsidRPr="002E2C84">
        <w:rPr>
          <w:b w:val="0"/>
          <w:iCs/>
          <w:color w:val="212121"/>
        </w:rPr>
        <w:t xml:space="preserve"> dokumendid masinloetavatena, kuid advokaatidele esitatavad dokumendid mitte. Need dokumendid, mis on prokuratuurile ja kohtule masinloetavana kättesaadavad, tuleb teha kättesaadavaks masinloetavana ka advokaatidele. Kui tekst ei võimalda tekstiotsingut, raskendab see oluliselt kaitsjate tööd. </w:t>
      </w:r>
    </w:p>
    <w:p w14:paraId="77F4BC70" w14:textId="77777777" w:rsidR="009B13DB" w:rsidRPr="002E2C84" w:rsidRDefault="009B13DB" w:rsidP="009B13DB">
      <w:pPr>
        <w:shd w:val="clear" w:color="auto" w:fill="FFFFFF"/>
        <w:jc w:val="both"/>
        <w:rPr>
          <w:rFonts w:ascii="Calibri" w:hAnsi="Calibri"/>
          <w:b w:val="0"/>
          <w:color w:val="212121"/>
        </w:rPr>
      </w:pPr>
      <w:r w:rsidRPr="002E2C84">
        <w:rPr>
          <w:b w:val="0"/>
          <w:iCs/>
          <w:color w:val="212121"/>
        </w:rPr>
        <w:t> </w:t>
      </w:r>
    </w:p>
    <w:p w14:paraId="02EE1B1D" w14:textId="77777777" w:rsidR="009B13DB" w:rsidRPr="002E2C84" w:rsidRDefault="009B13DB" w:rsidP="009B13DB">
      <w:pPr>
        <w:shd w:val="clear" w:color="auto" w:fill="FFFFFF"/>
        <w:jc w:val="both"/>
        <w:rPr>
          <w:rFonts w:ascii="Calibri" w:hAnsi="Calibri"/>
          <w:b w:val="0"/>
          <w:color w:val="212121"/>
        </w:rPr>
      </w:pPr>
      <w:r w:rsidRPr="002E2C84">
        <w:rPr>
          <w:b w:val="0"/>
          <w:iCs/>
          <w:color w:val="212121"/>
        </w:rPr>
        <w:t> </w:t>
      </w:r>
    </w:p>
    <w:p w14:paraId="0392D5EB" w14:textId="77777777" w:rsidR="009B13DB" w:rsidRPr="002E2C84" w:rsidRDefault="009B13DB" w:rsidP="009B13DB">
      <w:pPr>
        <w:shd w:val="clear" w:color="auto" w:fill="FFFFFF"/>
        <w:jc w:val="both"/>
        <w:rPr>
          <w:rFonts w:ascii="Calibri" w:hAnsi="Calibri"/>
          <w:b w:val="0"/>
          <w:color w:val="212121"/>
        </w:rPr>
      </w:pPr>
      <w:r w:rsidRPr="002E2C84">
        <w:rPr>
          <w:b w:val="0"/>
          <w:iCs/>
          <w:color w:val="212121"/>
        </w:rPr>
        <w:t>Juhatus</w:t>
      </w:r>
    </w:p>
    <w:p w14:paraId="33255C8F" w14:textId="77777777" w:rsidR="009B13DB" w:rsidRPr="002E2C84" w:rsidRDefault="009B13DB" w:rsidP="009B13DB">
      <w:pPr>
        <w:shd w:val="clear" w:color="auto" w:fill="FFFFFF"/>
        <w:jc w:val="both"/>
        <w:rPr>
          <w:rFonts w:ascii="Calibri" w:hAnsi="Calibri"/>
          <w:b w:val="0"/>
          <w:color w:val="212121"/>
        </w:rPr>
      </w:pPr>
      <w:r w:rsidRPr="002E2C84">
        <w:rPr>
          <w:b w:val="0"/>
          <w:iCs/>
          <w:color w:val="212121"/>
        </w:rPr>
        <w:t> </w:t>
      </w:r>
    </w:p>
    <w:p w14:paraId="3B5CAFA9" w14:textId="77777777" w:rsidR="009B13DB" w:rsidRPr="002E2C84" w:rsidRDefault="009B13DB" w:rsidP="009B13DB">
      <w:pPr>
        <w:shd w:val="clear" w:color="auto" w:fill="FFFFFF"/>
        <w:jc w:val="both"/>
        <w:rPr>
          <w:rFonts w:ascii="Calibri" w:hAnsi="Calibri"/>
          <w:color w:val="212121"/>
        </w:rPr>
      </w:pPr>
      <w:r w:rsidRPr="002E2C84">
        <w:rPr>
          <w:iCs/>
          <w:color w:val="212121"/>
        </w:rPr>
        <w:t>O T S U S T A S:</w:t>
      </w:r>
    </w:p>
    <w:p w14:paraId="6DCBA931" w14:textId="77777777" w:rsidR="009B13DB" w:rsidRPr="002E2C84" w:rsidRDefault="009B13DB" w:rsidP="009B13DB">
      <w:pPr>
        <w:shd w:val="clear" w:color="auto" w:fill="FFFFFF"/>
        <w:jc w:val="both"/>
        <w:rPr>
          <w:rFonts w:ascii="Calibri" w:hAnsi="Calibri"/>
          <w:color w:val="212121"/>
        </w:rPr>
      </w:pPr>
      <w:r w:rsidRPr="002E2C84">
        <w:rPr>
          <w:iCs/>
          <w:color w:val="212121"/>
        </w:rPr>
        <w:t> </w:t>
      </w:r>
    </w:p>
    <w:p w14:paraId="3926A733" w14:textId="77777777" w:rsidR="009B13DB" w:rsidRPr="002E2C84" w:rsidRDefault="009B13DB" w:rsidP="009B13DB">
      <w:pPr>
        <w:shd w:val="clear" w:color="auto" w:fill="FFFFFF"/>
        <w:jc w:val="both"/>
        <w:rPr>
          <w:rFonts w:ascii="Calibri" w:hAnsi="Calibri"/>
          <w:color w:val="212121"/>
        </w:rPr>
      </w:pPr>
      <w:r w:rsidRPr="002E2C84">
        <w:rPr>
          <w:iCs/>
          <w:color w:val="212121"/>
        </w:rPr>
        <w:t>Teavitada eeltoodud seisukohast Justiitsministeeriumi.</w:t>
      </w:r>
    </w:p>
    <w:p w14:paraId="1AE926AC" w14:textId="77777777" w:rsidR="00AC1807" w:rsidRDefault="00AC1807" w:rsidP="009B13DB">
      <w:pPr>
        <w:keepNext/>
        <w:jc w:val="both"/>
        <w:outlineLvl w:val="0"/>
      </w:pPr>
    </w:p>
    <w:sectPr w:rsidR="00AC18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ヒラギノ角ゴ Pro W3">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E660B"/>
    <w:multiLevelType w:val="multilevel"/>
    <w:tmpl w:val="E768FC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60603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D12"/>
    <w:rsid w:val="000A5D12"/>
    <w:rsid w:val="002A6DDF"/>
    <w:rsid w:val="009B13DB"/>
    <w:rsid w:val="00AC1807"/>
    <w:rsid w:val="00DD388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B899D"/>
  <w15:chartTrackingRefBased/>
  <w15:docId w15:val="{D9F4529D-D588-4DAE-BF58-4B124B06B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0A5D12"/>
    <w:pPr>
      <w:spacing w:after="0" w:line="240" w:lineRule="auto"/>
    </w:pPr>
    <w:rPr>
      <w:rFonts w:ascii="Times New Roman" w:eastAsia="Times New Roman" w:hAnsi="Times New Roman" w:cs="Times New Roman"/>
      <w:b/>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Default">
    <w:name w:val="Default"/>
    <w:autoRedefine/>
    <w:rsid w:val="000A5D12"/>
    <w:pPr>
      <w:suppressAutoHyphens/>
      <w:spacing w:after="0" w:line="240" w:lineRule="auto"/>
      <w:jc w:val="both"/>
    </w:pPr>
    <w:rPr>
      <w:rFonts w:ascii="Times New Roman" w:eastAsia="ヒラギノ角ゴ Pro W3" w:hAnsi="Times New Roman" w:cs="Times New Roman"/>
      <w:color w:val="000000" w:themeColor="text1"/>
      <w:sz w:val="24"/>
      <w:szCs w:val="24"/>
      <w:bdr w:val="none" w:sz="0" w:space="0" w:color="auto" w:frame="1"/>
      <w:lang w:eastAsia="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375</Words>
  <Characters>2181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2019-04-24T13:01:00Z</dcterms:created>
  <dcterms:modified xsi:type="dcterms:W3CDTF">2023-10-02T09:22:00Z</dcterms:modified>
</cp:coreProperties>
</file>