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15B0" w14:textId="77777777" w:rsidR="006E1B2C" w:rsidRPr="00002705" w:rsidRDefault="006E1B2C" w:rsidP="006E1B2C">
      <w:pPr>
        <w:rPr>
          <w:b w:val="0"/>
          <w:bCs/>
          <w:color w:val="FF0000"/>
        </w:rPr>
      </w:pPr>
    </w:p>
    <w:p w14:paraId="36E9C6FF" w14:textId="77777777" w:rsidR="006E1B2C" w:rsidRPr="00002705" w:rsidRDefault="006E1B2C" w:rsidP="006E1B2C">
      <w:pPr>
        <w:rPr>
          <w:color w:val="000000" w:themeColor="text1"/>
        </w:rPr>
      </w:pPr>
      <w:r w:rsidRPr="00002705">
        <w:rPr>
          <w:b w:val="0"/>
          <w:bCs/>
          <w:color w:val="000000" w:themeColor="text1"/>
        </w:rPr>
        <w:t>EESTI ADVOKATUURI JUHATUS</w:t>
      </w:r>
    </w:p>
    <w:p w14:paraId="4183F81B" w14:textId="77777777" w:rsidR="006E1B2C" w:rsidRPr="00002705" w:rsidRDefault="006E1B2C" w:rsidP="006E1B2C">
      <w:pPr>
        <w:jc w:val="both"/>
        <w:rPr>
          <w:b w:val="0"/>
          <w:bCs/>
          <w:color w:val="000000" w:themeColor="text1"/>
        </w:rPr>
      </w:pPr>
      <w:r w:rsidRPr="00002705">
        <w:rPr>
          <w:b w:val="0"/>
          <w:bCs/>
          <w:color w:val="000000" w:themeColor="text1"/>
        </w:rPr>
        <w:t>ISTUNGI PROTOKOLL</w:t>
      </w:r>
    </w:p>
    <w:p w14:paraId="7ED20AFB" w14:textId="77777777" w:rsidR="006E1B2C" w:rsidRPr="00002705" w:rsidRDefault="006E1B2C" w:rsidP="006E1B2C">
      <w:pPr>
        <w:jc w:val="both"/>
        <w:rPr>
          <w:b w:val="0"/>
          <w:bCs/>
          <w:color w:val="000000" w:themeColor="text1"/>
        </w:rPr>
      </w:pPr>
      <w:r w:rsidRPr="00002705">
        <w:rPr>
          <w:b w:val="0"/>
          <w:bCs/>
          <w:color w:val="000000" w:themeColor="text1"/>
        </w:rPr>
        <w:t>7.  august 2018. a nr 16</w:t>
      </w:r>
    </w:p>
    <w:p w14:paraId="5AFC43F5" w14:textId="77777777" w:rsidR="006E1B2C" w:rsidRPr="00002705" w:rsidRDefault="006E1B2C" w:rsidP="006E1B2C">
      <w:pPr>
        <w:jc w:val="both"/>
        <w:rPr>
          <w:b w:val="0"/>
          <w:bCs/>
          <w:color w:val="000000" w:themeColor="text1"/>
        </w:rPr>
      </w:pPr>
      <w:r w:rsidRPr="00002705">
        <w:rPr>
          <w:b w:val="0"/>
          <w:bCs/>
          <w:color w:val="000000" w:themeColor="text1"/>
        </w:rPr>
        <w:t>Tallinn</w:t>
      </w:r>
    </w:p>
    <w:p w14:paraId="1AC7E2C0" w14:textId="77777777" w:rsidR="00F7160E" w:rsidRDefault="00F7160E"/>
    <w:p w14:paraId="317E0E8E" w14:textId="77777777" w:rsidR="00F62ABB" w:rsidRDefault="00F62ABB" w:rsidP="00B40BFF">
      <w:pPr>
        <w:jc w:val="both"/>
        <w:rPr>
          <w:rFonts w:eastAsia="Calibri"/>
          <w:color w:val="000000"/>
          <w:lang w:eastAsia="en-US"/>
        </w:rPr>
      </w:pPr>
    </w:p>
    <w:p w14:paraId="653F67B3" w14:textId="77777777" w:rsidR="00F62ABB" w:rsidRDefault="00F62ABB" w:rsidP="00B40BFF">
      <w:pPr>
        <w:jc w:val="both"/>
        <w:rPr>
          <w:rFonts w:eastAsia="Calibri"/>
          <w:color w:val="000000"/>
          <w:lang w:eastAsia="en-US"/>
        </w:rPr>
      </w:pPr>
    </w:p>
    <w:p w14:paraId="0152A3F0" w14:textId="4C013447" w:rsidR="00B40BFF" w:rsidRPr="00002705" w:rsidRDefault="00B40BFF" w:rsidP="00B40BFF">
      <w:pPr>
        <w:jc w:val="both"/>
        <w:rPr>
          <w:rFonts w:eastAsia="Calibri"/>
          <w:color w:val="000000"/>
          <w:lang w:eastAsia="en-US"/>
        </w:rPr>
      </w:pPr>
      <w:r w:rsidRPr="00002705">
        <w:rPr>
          <w:rFonts w:eastAsia="Calibri"/>
          <w:color w:val="000000"/>
          <w:lang w:eastAsia="en-US"/>
        </w:rPr>
        <w:t>Kriminaaltoimiku materjalidest - vesimärgistus ja masinloetavus</w:t>
      </w:r>
    </w:p>
    <w:p w14:paraId="5A67ECE7" w14:textId="77777777" w:rsidR="00B40BFF" w:rsidRPr="00002705" w:rsidRDefault="00B40BFF" w:rsidP="00B40BFF">
      <w:pPr>
        <w:jc w:val="both"/>
        <w:rPr>
          <w:rFonts w:eastAsia="Calibri"/>
          <w:color w:val="000000"/>
          <w:lang w:eastAsia="en-US"/>
        </w:rPr>
      </w:pPr>
    </w:p>
    <w:p w14:paraId="5FF83508" w14:textId="77777777" w:rsidR="00B40BFF" w:rsidRPr="00002705" w:rsidRDefault="00B40BFF" w:rsidP="00B40BFF">
      <w:pPr>
        <w:jc w:val="both"/>
        <w:rPr>
          <w:rFonts w:eastAsia="Calibri"/>
          <w:b w:val="0"/>
          <w:color w:val="000000"/>
          <w:lang w:eastAsia="en-US"/>
        </w:rPr>
      </w:pPr>
      <w:r w:rsidRPr="00002705">
        <w:rPr>
          <w:rFonts w:eastAsia="Calibri"/>
          <w:b w:val="0"/>
          <w:color w:val="000000"/>
          <w:lang w:eastAsia="en-US"/>
        </w:rPr>
        <w:t>Juhatus pöördus prokuratuuri poole, paludes esiteks, et kaitsjatele tutvumiseks esitatavatel kriminaaltoimiku koopiatel kasutataks vesimärki, mis ei takista toimikuga tutvumist, ning teiseks, et kaitsjale esitatava kriminaaltoimiku koopia võimaldaks tekstiotsingut ja et kõik dokumendid, mis on masinloetavana prokuratuuris olemas, võiksid olla selliselt kättesaadavad ka advokaatidele.</w:t>
      </w:r>
    </w:p>
    <w:p w14:paraId="5017546A" w14:textId="77777777" w:rsidR="00B40BFF" w:rsidRPr="00002705" w:rsidRDefault="00B40BFF" w:rsidP="00B40BFF">
      <w:pPr>
        <w:jc w:val="both"/>
        <w:rPr>
          <w:rFonts w:eastAsia="Calibri"/>
          <w:b w:val="0"/>
          <w:color w:val="000000"/>
          <w:lang w:eastAsia="en-US"/>
        </w:rPr>
      </w:pPr>
    </w:p>
    <w:p w14:paraId="2A0E3E8D" w14:textId="77777777" w:rsidR="00B40BFF" w:rsidRPr="00002705" w:rsidRDefault="00B40BFF" w:rsidP="00B40BFF">
      <w:pPr>
        <w:jc w:val="both"/>
        <w:rPr>
          <w:rFonts w:eastAsia="Calibri"/>
          <w:b w:val="0"/>
          <w:color w:val="000000"/>
          <w:lang w:eastAsia="en-US"/>
        </w:rPr>
      </w:pPr>
      <w:r w:rsidRPr="00002705">
        <w:rPr>
          <w:rFonts w:eastAsia="Calibri"/>
          <w:b w:val="0"/>
          <w:color w:val="000000"/>
          <w:lang w:eastAsia="en-US"/>
        </w:rPr>
        <w:t xml:space="preserve">Prokuratuur vastas, et nende poole on seoses sellega, et vesimärk on toimiku teksti lugemist raskendanud, pöördutud viimase aasta jooksul ühel korral. Viidatud juhtumist lähtuvalt modifitseeris prokuratuur kasutatavat vesimärki, muutes selle vähem segavaks. Prokuratuurile ei ole teada rohkem juhtumeid, kus vesimärk oleks toimikuga tutvumist takistanud, kuid palub taolist infot edaspidi jagada. </w:t>
      </w:r>
    </w:p>
    <w:p w14:paraId="7F826B1B" w14:textId="77777777" w:rsidR="00B40BFF" w:rsidRPr="00002705" w:rsidRDefault="00B40BFF" w:rsidP="00B40BFF">
      <w:pPr>
        <w:jc w:val="both"/>
        <w:rPr>
          <w:rFonts w:eastAsia="Calibri"/>
          <w:b w:val="0"/>
          <w:color w:val="000000"/>
          <w:lang w:eastAsia="en-US"/>
        </w:rPr>
      </w:pPr>
    </w:p>
    <w:p w14:paraId="4953DA60" w14:textId="77777777" w:rsidR="00B40BFF" w:rsidRPr="00002705" w:rsidRDefault="00B40BFF" w:rsidP="00B40BFF">
      <w:pPr>
        <w:jc w:val="both"/>
        <w:rPr>
          <w:rFonts w:eastAsia="Calibri"/>
          <w:b w:val="0"/>
          <w:color w:val="000000"/>
          <w:lang w:eastAsia="en-US"/>
        </w:rPr>
      </w:pPr>
      <w:r w:rsidRPr="00002705">
        <w:rPr>
          <w:rFonts w:eastAsia="Calibri"/>
          <w:b w:val="0"/>
          <w:color w:val="000000"/>
          <w:lang w:eastAsia="en-US"/>
        </w:rPr>
        <w:t xml:space="preserve">Seonduvalt advokatuuri palvega väljastada kriminaaltoimiku koopia selliselt, et koopia võimaldaks tekstiotsingut, selgitab prokuratuur, et KrMS § 224 lg 1 järgi lasub prokuratuuril kohustus esitada kaitsjale kriminaaltoimiku koopia. Selle kohustuse täitmiseks skaneerib prokuratuuri kantselei paberkujul oleva kriminaaltoimiku tervikuna, salvestab selle PDF-formaadis ning varustab vesimärgi ja parooliga. Kriminaaltoimikust koopia tegemise protsessi juurde ei kuulu niisiis optiline märgituvastus (inglise keeles </w:t>
      </w:r>
      <w:r w:rsidRPr="00002705">
        <w:rPr>
          <w:rFonts w:eastAsia="Calibri"/>
          <w:b w:val="0"/>
          <w:i/>
          <w:color w:val="000000"/>
          <w:lang w:eastAsia="en-US"/>
        </w:rPr>
        <w:t>optical character recognition</w:t>
      </w:r>
      <w:r w:rsidRPr="00002705">
        <w:rPr>
          <w:rFonts w:eastAsia="Calibri"/>
          <w:b w:val="0"/>
          <w:color w:val="000000"/>
          <w:lang w:eastAsia="en-US"/>
        </w:rPr>
        <w:t xml:space="preserve"> ehk OCR) ehk skanneri poolt üles pildistatud teksti masinloetavaks teisendamine. Optilist märgituvastust võimaldavat tarkvara prokuratuuri kantselei ei kasuta, mistõttu ei ole ka prokuratuuri enda käsutuses kriminaaltoimiku sellised digitaalsed koopiad, mis võimaldaks tekstiotsingut.</w:t>
      </w:r>
    </w:p>
    <w:p w14:paraId="30ED808C" w14:textId="77777777" w:rsidR="00B40BFF" w:rsidRPr="00002705" w:rsidRDefault="00B40BFF" w:rsidP="00B40BFF">
      <w:pPr>
        <w:jc w:val="both"/>
        <w:rPr>
          <w:rFonts w:eastAsia="Calibri"/>
          <w:b w:val="0"/>
          <w:color w:val="000000"/>
          <w:lang w:eastAsia="en-US"/>
        </w:rPr>
      </w:pPr>
    </w:p>
    <w:p w14:paraId="22695560" w14:textId="77777777" w:rsidR="00B40BFF" w:rsidRPr="00002705" w:rsidRDefault="00B40BFF" w:rsidP="00B40BFF">
      <w:pPr>
        <w:jc w:val="both"/>
        <w:rPr>
          <w:rFonts w:eastAsia="Calibri"/>
          <w:b w:val="0"/>
          <w:color w:val="000000"/>
          <w:lang w:eastAsia="en-US"/>
        </w:rPr>
      </w:pPr>
      <w:r w:rsidRPr="00002705">
        <w:rPr>
          <w:rFonts w:eastAsia="Calibri"/>
          <w:b w:val="0"/>
          <w:color w:val="000000"/>
          <w:lang w:eastAsia="en-US"/>
        </w:rPr>
        <w:t>Juhatus kutsub üles advokaate prokuratuuri teavitama, kui kaitsjatele tutvumiseks esitatavatel kriminaaltoimiku koopiatel kasutatakse vesimärki, mis takistab toimikuga tutvumist. Mis puudutab dokumentide masinloetavust, siis juhatus peab vajalikuks pöörduda Justiitsministeeriumi poole</w:t>
      </w:r>
      <w:r w:rsidRPr="00002705">
        <w:rPr>
          <w:b w:val="0"/>
          <w:color w:val="000000"/>
        </w:rPr>
        <w:t>, et masinloetavuse tagamiseks võetaks kasutusele vajalikud töökorralduslikud ja tehnilised lahendused. Need dokumendid, mis on prokuratuurile masinloetavana kättesaadavad, tuleb teha kättesaadavaks ka advokaatidele.</w:t>
      </w:r>
    </w:p>
    <w:p w14:paraId="3DFD0789" w14:textId="77777777" w:rsidR="00B40BFF" w:rsidRPr="00002705" w:rsidRDefault="00B40BFF" w:rsidP="00B40BFF">
      <w:pPr>
        <w:jc w:val="both"/>
        <w:rPr>
          <w:rFonts w:eastAsia="Calibri"/>
          <w:color w:val="000000"/>
          <w:lang w:eastAsia="en-US"/>
        </w:rPr>
      </w:pPr>
    </w:p>
    <w:p w14:paraId="2F16ED6F" w14:textId="77777777" w:rsidR="00B40BFF" w:rsidRPr="00002705" w:rsidRDefault="00B40BFF" w:rsidP="00B40BFF">
      <w:pPr>
        <w:jc w:val="both"/>
        <w:rPr>
          <w:rFonts w:eastAsia="Calibri"/>
          <w:color w:val="000000"/>
          <w:lang w:eastAsia="en-US"/>
        </w:rPr>
      </w:pPr>
    </w:p>
    <w:p w14:paraId="1D9F8CEC" w14:textId="77777777" w:rsidR="00B40BFF" w:rsidRPr="00002705" w:rsidRDefault="00B40BFF" w:rsidP="00B40BFF">
      <w:pPr>
        <w:jc w:val="both"/>
        <w:rPr>
          <w:rFonts w:eastAsia="Calibri"/>
          <w:b w:val="0"/>
          <w:color w:val="000000"/>
          <w:lang w:eastAsia="en-US"/>
        </w:rPr>
      </w:pPr>
      <w:r w:rsidRPr="00002705">
        <w:rPr>
          <w:rFonts w:eastAsia="Calibri"/>
          <w:b w:val="0"/>
          <w:color w:val="000000"/>
          <w:lang w:eastAsia="en-US"/>
        </w:rPr>
        <w:t>Juhatus</w:t>
      </w:r>
    </w:p>
    <w:p w14:paraId="0CEE0C29" w14:textId="77777777" w:rsidR="00B40BFF" w:rsidRPr="00002705" w:rsidRDefault="00B40BFF" w:rsidP="00B40BFF">
      <w:pPr>
        <w:jc w:val="both"/>
        <w:rPr>
          <w:rFonts w:eastAsia="Calibri"/>
          <w:color w:val="000000"/>
          <w:lang w:eastAsia="en-US"/>
        </w:rPr>
      </w:pPr>
    </w:p>
    <w:p w14:paraId="23552CE1" w14:textId="77777777" w:rsidR="00B40BFF" w:rsidRPr="00002705" w:rsidRDefault="00B40BFF" w:rsidP="00B40BFF">
      <w:pPr>
        <w:jc w:val="both"/>
        <w:rPr>
          <w:rFonts w:eastAsia="Calibri"/>
          <w:color w:val="000000"/>
          <w:lang w:eastAsia="en-US"/>
        </w:rPr>
      </w:pPr>
      <w:r w:rsidRPr="00002705">
        <w:rPr>
          <w:rFonts w:eastAsia="Calibri"/>
          <w:color w:val="000000"/>
          <w:lang w:eastAsia="en-US"/>
        </w:rPr>
        <w:t>O T S U S T A S:</w:t>
      </w:r>
    </w:p>
    <w:p w14:paraId="15A77F1E" w14:textId="77777777" w:rsidR="00B40BFF" w:rsidRPr="00002705" w:rsidRDefault="00B40BFF" w:rsidP="00B40BFF">
      <w:pPr>
        <w:jc w:val="both"/>
        <w:rPr>
          <w:rFonts w:eastAsia="Calibri"/>
          <w:color w:val="000000"/>
          <w:lang w:eastAsia="en-US"/>
        </w:rPr>
      </w:pPr>
    </w:p>
    <w:p w14:paraId="55C47165" w14:textId="77777777" w:rsidR="00B40BFF" w:rsidRPr="00002705" w:rsidRDefault="00B40BFF" w:rsidP="00B40BFF">
      <w:pPr>
        <w:jc w:val="both"/>
        <w:rPr>
          <w:color w:val="000000"/>
        </w:rPr>
      </w:pPr>
      <w:r w:rsidRPr="00002705">
        <w:rPr>
          <w:color w:val="000000"/>
        </w:rPr>
        <w:t>Pöörduda masinloetavuse küsimuses Justiitsministeeriumi  poole.</w:t>
      </w:r>
    </w:p>
    <w:p w14:paraId="6C3F252D" w14:textId="77777777" w:rsidR="00871CC2" w:rsidRDefault="00871CC2" w:rsidP="006E1B2C">
      <w:pPr>
        <w:jc w:val="both"/>
      </w:pPr>
    </w:p>
    <w:sectPr w:rsidR="0087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28031188">
    <w:abstractNumId w:val="0"/>
  </w:num>
  <w:num w:numId="2" w16cid:durableId="105331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6E1B2C"/>
    <w:rsid w:val="00796C44"/>
    <w:rsid w:val="00871CC2"/>
    <w:rsid w:val="00A12812"/>
    <w:rsid w:val="00B40BFF"/>
    <w:rsid w:val="00BA37CD"/>
    <w:rsid w:val="00F62ABB"/>
    <w:rsid w:val="00F716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1263"/>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2019-04-24T13:27:00Z</dcterms:created>
  <dcterms:modified xsi:type="dcterms:W3CDTF">2023-10-02T09:22:00Z</dcterms:modified>
</cp:coreProperties>
</file>