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2FEA" w:rsidRPr="001701CB" w:rsidRDefault="00142FEA" w:rsidP="00142FEA">
      <w:pPr>
        <w:tabs>
          <w:tab w:val="left" w:pos="2410"/>
        </w:tabs>
        <w:jc w:val="both"/>
        <w:rPr>
          <w:noProof/>
          <w:color w:val="000000"/>
        </w:rPr>
      </w:pPr>
      <w:r w:rsidRPr="001701CB">
        <w:rPr>
          <w:noProof/>
          <w:color w:val="000000"/>
        </w:rPr>
        <w:t>EESTI ADVOKATUURI JUHATUS</w:t>
      </w:r>
    </w:p>
    <w:p w:rsidR="00142FEA" w:rsidRPr="001701CB" w:rsidRDefault="00142FEA" w:rsidP="00142FEA">
      <w:pPr>
        <w:tabs>
          <w:tab w:val="center" w:pos="4513"/>
          <w:tab w:val="right" w:pos="8666"/>
        </w:tabs>
        <w:jc w:val="both"/>
        <w:rPr>
          <w:noProof/>
          <w:color w:val="000000"/>
        </w:rPr>
      </w:pPr>
      <w:r w:rsidRPr="001701CB">
        <w:rPr>
          <w:noProof/>
          <w:color w:val="000000"/>
        </w:rPr>
        <w:t>ISTUNGI PROTOKOLL</w:t>
      </w:r>
      <w:r w:rsidRPr="001701CB">
        <w:rPr>
          <w:noProof/>
          <w:color w:val="000000"/>
        </w:rPr>
        <w:tab/>
      </w:r>
      <w:r w:rsidRPr="001701CB">
        <w:rPr>
          <w:noProof/>
          <w:color w:val="000000"/>
        </w:rPr>
        <w:tab/>
      </w:r>
    </w:p>
    <w:p w:rsidR="00142FEA" w:rsidRPr="001701CB" w:rsidRDefault="00142FEA" w:rsidP="00142FEA">
      <w:pPr>
        <w:tabs>
          <w:tab w:val="left" w:pos="5340"/>
        </w:tabs>
        <w:jc w:val="both"/>
        <w:rPr>
          <w:noProof/>
          <w:color w:val="000000"/>
        </w:rPr>
      </w:pPr>
      <w:r w:rsidRPr="001701CB">
        <w:rPr>
          <w:noProof/>
          <w:color w:val="000000"/>
        </w:rPr>
        <w:t>05. august 2014. a nr 15</w:t>
      </w:r>
      <w:r w:rsidRPr="001701CB">
        <w:rPr>
          <w:noProof/>
          <w:color w:val="000000"/>
        </w:rPr>
        <w:tab/>
      </w:r>
    </w:p>
    <w:p w:rsidR="00142FEA" w:rsidRPr="001701CB" w:rsidRDefault="00142FEA" w:rsidP="00142FEA">
      <w:pPr>
        <w:tabs>
          <w:tab w:val="center" w:pos="4513"/>
          <w:tab w:val="right" w:pos="8666"/>
        </w:tabs>
        <w:jc w:val="both"/>
        <w:rPr>
          <w:noProof/>
          <w:color w:val="000000"/>
        </w:rPr>
      </w:pPr>
      <w:r w:rsidRPr="001701CB">
        <w:rPr>
          <w:noProof/>
          <w:color w:val="000000"/>
        </w:rPr>
        <w:t>Tallinn</w:t>
      </w:r>
    </w:p>
    <w:p w:rsidR="00142FEA" w:rsidRDefault="00142FEA" w:rsidP="00142FEA">
      <w:pPr>
        <w:jc w:val="both"/>
        <w:rPr>
          <w:b/>
          <w:bCs/>
          <w:color w:val="000000"/>
        </w:rPr>
      </w:pPr>
    </w:p>
    <w:p w:rsidR="00142FEA" w:rsidRPr="001701CB" w:rsidRDefault="00142FEA" w:rsidP="00142FEA">
      <w:pPr>
        <w:jc w:val="both"/>
        <w:rPr>
          <w:b/>
          <w:bCs/>
          <w:color w:val="000000"/>
        </w:rPr>
      </w:pPr>
    </w:p>
    <w:p w:rsidR="00142FEA" w:rsidRDefault="00142FEA" w:rsidP="00142FEA">
      <w:pPr>
        <w:jc w:val="both"/>
        <w:rPr>
          <w:b/>
          <w:bCs/>
          <w:color w:val="000000"/>
        </w:rPr>
      </w:pPr>
    </w:p>
    <w:p w:rsidR="009110AE" w:rsidRDefault="009110AE" w:rsidP="00142FEA">
      <w:pPr>
        <w:jc w:val="both"/>
        <w:rPr>
          <w:b/>
          <w:bCs/>
          <w:color w:val="000000"/>
        </w:rPr>
      </w:pPr>
    </w:p>
    <w:p w:rsidR="009110AE" w:rsidRDefault="009110AE" w:rsidP="00142FEA">
      <w:pPr>
        <w:jc w:val="both"/>
        <w:rPr>
          <w:b/>
          <w:bCs/>
          <w:color w:val="000000"/>
        </w:rPr>
      </w:pPr>
      <w:r>
        <w:rPr>
          <w:b/>
          <w:bCs/>
          <w:color w:val="000000"/>
        </w:rPr>
        <w:t>Kutsesaladuse hoidmise kohustusest</w:t>
      </w:r>
    </w:p>
    <w:p w:rsidR="009110AE" w:rsidRPr="001701CB" w:rsidRDefault="009110AE" w:rsidP="00142FEA">
      <w:pPr>
        <w:jc w:val="both"/>
        <w:rPr>
          <w:b/>
          <w:bCs/>
          <w:color w:val="000000"/>
        </w:rPr>
      </w:pPr>
    </w:p>
    <w:p w:rsidR="00142FEA" w:rsidRPr="001701CB" w:rsidRDefault="00142FEA" w:rsidP="00142FEA">
      <w:pPr>
        <w:autoSpaceDE w:val="0"/>
        <w:autoSpaceDN w:val="0"/>
        <w:jc w:val="both"/>
        <w:rPr>
          <w:color w:val="000000"/>
          <w:lang w:eastAsia="en-US"/>
        </w:rPr>
      </w:pPr>
      <w:r w:rsidRPr="001701CB">
        <w:rPr>
          <w:color w:val="000000"/>
          <w:lang w:eastAsia="en-US"/>
        </w:rPr>
        <w:t>Advokaadid paluvad selgitada, kas olukorras, kus advokaat on kohtumenetluses avaldanud informatsiooni ja materjale vaidlusega mitteseotud kliendi kohta, on vastaspoole advokaadil õigus nõuda selle kliendi kirjaliku nõusoleku esitamist, ja kas kutsesaladust avaldanud advokaadil on kohustus selline nõusolek esitada.</w:t>
      </w:r>
    </w:p>
    <w:p w:rsidR="00142FEA" w:rsidRPr="001701CB" w:rsidRDefault="00142FEA" w:rsidP="00142FEA">
      <w:pPr>
        <w:autoSpaceDE w:val="0"/>
        <w:autoSpaceDN w:val="0"/>
        <w:jc w:val="both"/>
        <w:rPr>
          <w:color w:val="000000"/>
          <w:lang w:eastAsia="en-US"/>
        </w:rPr>
      </w:pPr>
    </w:p>
    <w:p w:rsidR="00142FEA" w:rsidRPr="001701CB" w:rsidRDefault="00142FEA" w:rsidP="00142FEA">
      <w:pPr>
        <w:autoSpaceDE w:val="0"/>
        <w:autoSpaceDN w:val="0"/>
        <w:jc w:val="both"/>
        <w:rPr>
          <w:iCs/>
          <w:color w:val="000000"/>
          <w:lang w:eastAsia="en-US"/>
        </w:rPr>
      </w:pPr>
      <w:r w:rsidRPr="001701CB">
        <w:rPr>
          <w:iCs/>
          <w:color w:val="000000"/>
          <w:lang w:eastAsia="en-US"/>
        </w:rPr>
        <w:t xml:space="preserve">Juhatus selgitab, et kuna selgitustaotluses viidatud asjas on käimas kohtumenetlus, kujundab asjas lõpliku seisukoha kohus, kes mh hindab tõendite lubatavust; </w:t>
      </w:r>
      <w:r>
        <w:rPr>
          <w:iCs/>
          <w:color w:val="000000"/>
          <w:lang w:eastAsia="en-US"/>
        </w:rPr>
        <w:t>advokatuuri</w:t>
      </w:r>
      <w:r w:rsidRPr="001701CB">
        <w:rPr>
          <w:iCs/>
          <w:color w:val="000000"/>
          <w:lang w:eastAsia="en-US"/>
        </w:rPr>
        <w:t xml:space="preserve"> juhatus ei anna hinnangut konkreetsele kohtuasjale.</w:t>
      </w:r>
    </w:p>
    <w:p w:rsidR="00142FEA" w:rsidRPr="001701CB" w:rsidRDefault="00142FEA" w:rsidP="00142FEA">
      <w:pPr>
        <w:autoSpaceDE w:val="0"/>
        <w:autoSpaceDN w:val="0"/>
        <w:jc w:val="both"/>
        <w:rPr>
          <w:iCs/>
          <w:color w:val="000000"/>
          <w:lang w:eastAsia="en-US"/>
        </w:rPr>
      </w:pPr>
    </w:p>
    <w:p w:rsidR="00142FEA" w:rsidRPr="001701CB" w:rsidRDefault="00142FEA" w:rsidP="00142FEA">
      <w:pPr>
        <w:autoSpaceDE w:val="0"/>
        <w:autoSpaceDN w:val="0"/>
        <w:jc w:val="both"/>
        <w:rPr>
          <w:iCs/>
          <w:color w:val="000000"/>
          <w:lang w:eastAsia="en-US"/>
        </w:rPr>
      </w:pPr>
      <w:r w:rsidRPr="001701CB">
        <w:rPr>
          <w:iCs/>
          <w:color w:val="000000"/>
          <w:lang w:eastAsia="en-US"/>
        </w:rPr>
        <w:t>AdvS § 45 lg 1 kohaselt on advokaat kohustatud hoidma saladuses talle õigusteenust osutades teatavaks saanud andmeid, tema poole õigusteenuse saamiseks pöördumist ja õigusteenuse eest makstud tasu suurust. Kohustus ei ole ajaliselt piiratud ja kehtib ka pärast advokaaditegevuse lõppemist. AdvS § 45 lg 2 kohaselt võib klient advokaadi kutsesaladuse hoidmise kohustusest vabastada oma kirjaliku nõusolekuga.</w:t>
      </w:r>
      <w:r w:rsidRPr="001701CB">
        <w:rPr>
          <w:color w:val="000000"/>
          <w:lang w:eastAsia="en-US"/>
        </w:rPr>
        <w:t xml:space="preserve"> </w:t>
      </w:r>
      <w:r w:rsidRPr="001701CB">
        <w:rPr>
          <w:iCs/>
          <w:color w:val="000000"/>
          <w:lang w:eastAsia="en-US"/>
        </w:rPr>
        <w:t>Juhatuse hinnangul saab kutsesaladuse hoidmise kohustusele tugineda kas advokaat või klient. Advokaat ei ole kohustatud tõendama kolmandale isikule, et avaldatud teabe esitamiseks on tal kliendi kirjalik nõusolek. Kui on tekkinud kahtlus, et advokaat ei ole täitnud seadusest tulenevalt kohustust hoida talle teatavaks saanud informatsiooni konfidentsiaalsena, on võimalik esitada vastavasisuline kaebus advokatuuri aukohtule, kes tuvastab, kas advokaadi tegevus oli kooskõlas advokaadi tegevust sätestavate õigusaktide ja kutse-eetikaga.</w:t>
      </w:r>
    </w:p>
    <w:p w:rsidR="00142FEA" w:rsidRPr="001701CB" w:rsidRDefault="00142FEA" w:rsidP="00142FEA">
      <w:pPr>
        <w:jc w:val="both"/>
        <w:rPr>
          <w:rFonts w:ascii="Calibri" w:hAnsi="Calibri"/>
          <w:color w:val="1F497D"/>
          <w:sz w:val="22"/>
          <w:szCs w:val="22"/>
        </w:rPr>
      </w:pPr>
    </w:p>
    <w:p w:rsidR="00142FEA" w:rsidRPr="001701CB" w:rsidRDefault="00142FEA" w:rsidP="00142FEA">
      <w:pPr>
        <w:jc w:val="both"/>
        <w:rPr>
          <w:b/>
          <w:bCs/>
          <w:color w:val="000000"/>
        </w:rPr>
      </w:pPr>
    </w:p>
    <w:p w:rsidR="00142FEA" w:rsidRPr="001701CB" w:rsidRDefault="00142FEA" w:rsidP="00142FEA">
      <w:pPr>
        <w:autoSpaceDE w:val="0"/>
        <w:autoSpaceDN w:val="0"/>
        <w:adjustRightInd w:val="0"/>
        <w:jc w:val="both"/>
        <w:rPr>
          <w:rFonts w:ascii="Times-Roman" w:eastAsia="Calibri" w:hAnsi="Times-Roman" w:cs="Times-Roman"/>
          <w:color w:val="000000"/>
        </w:rPr>
      </w:pPr>
      <w:r w:rsidRPr="001701CB">
        <w:rPr>
          <w:rFonts w:ascii="Times-Roman" w:eastAsia="Calibri" w:hAnsi="Times-Roman" w:cs="Times-Roman"/>
          <w:color w:val="000000"/>
        </w:rPr>
        <w:t>Juhatus</w:t>
      </w:r>
    </w:p>
    <w:p w:rsidR="00142FEA" w:rsidRPr="001701CB" w:rsidRDefault="00142FEA" w:rsidP="00142FEA">
      <w:pPr>
        <w:autoSpaceDE w:val="0"/>
        <w:autoSpaceDN w:val="0"/>
        <w:adjustRightInd w:val="0"/>
        <w:jc w:val="both"/>
        <w:rPr>
          <w:rFonts w:ascii="Times-Bold" w:eastAsia="Calibri" w:hAnsi="Times-Bold" w:cs="Times-Bold"/>
          <w:b/>
          <w:bCs/>
          <w:color w:val="000000"/>
        </w:rPr>
      </w:pPr>
    </w:p>
    <w:p w:rsidR="00142FEA" w:rsidRPr="001701CB" w:rsidRDefault="00142FEA" w:rsidP="00142FEA">
      <w:pPr>
        <w:autoSpaceDE w:val="0"/>
        <w:autoSpaceDN w:val="0"/>
        <w:adjustRightInd w:val="0"/>
        <w:jc w:val="both"/>
        <w:rPr>
          <w:rFonts w:ascii="Times-Bold" w:eastAsia="Calibri" w:hAnsi="Times-Bold" w:cs="Times-Bold"/>
          <w:b/>
          <w:bCs/>
          <w:color w:val="000000"/>
        </w:rPr>
      </w:pPr>
      <w:r w:rsidRPr="001701CB">
        <w:rPr>
          <w:rFonts w:ascii="Times-Bold" w:eastAsia="Calibri" w:hAnsi="Times-Bold" w:cs="Times-Bold"/>
          <w:b/>
          <w:bCs/>
          <w:color w:val="000000"/>
        </w:rPr>
        <w:t>O T S U S T A S:</w:t>
      </w:r>
    </w:p>
    <w:p w:rsidR="00142FEA" w:rsidRPr="001701CB" w:rsidRDefault="00142FEA" w:rsidP="00142FEA">
      <w:pPr>
        <w:autoSpaceDE w:val="0"/>
        <w:autoSpaceDN w:val="0"/>
        <w:adjustRightInd w:val="0"/>
        <w:jc w:val="both"/>
        <w:rPr>
          <w:rFonts w:ascii="Times-Bold" w:eastAsia="Calibri" w:hAnsi="Times-Bold" w:cs="Times-Bold"/>
          <w:b/>
          <w:bCs/>
          <w:color w:val="000000"/>
        </w:rPr>
      </w:pPr>
    </w:p>
    <w:p w:rsidR="00142FEA" w:rsidRPr="001701CB" w:rsidRDefault="00142FEA" w:rsidP="00142FEA">
      <w:pPr>
        <w:autoSpaceDE w:val="0"/>
        <w:autoSpaceDN w:val="0"/>
        <w:adjustRightInd w:val="0"/>
        <w:jc w:val="both"/>
        <w:rPr>
          <w:rFonts w:ascii="Times-Bold" w:eastAsia="Calibri" w:hAnsi="Times-Bold" w:cs="Times-Bold"/>
          <w:b/>
          <w:bCs/>
          <w:color w:val="000000"/>
        </w:rPr>
      </w:pPr>
      <w:r w:rsidRPr="001701CB">
        <w:rPr>
          <w:rFonts w:ascii="Times-Bold" w:eastAsia="Calibri" w:hAnsi="Times-Bold" w:cs="Times-Bold"/>
          <w:b/>
          <w:bCs/>
          <w:color w:val="000000"/>
        </w:rPr>
        <w:t>Teavitada eeltoodud seisukohast advokaate.</w:t>
      </w:r>
    </w:p>
    <w:p w:rsidR="007D4977" w:rsidRDefault="007D4977"/>
    <w:sectPr w:rsidR="007D4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FEA"/>
    <w:rsid w:val="00142FEA"/>
    <w:rsid w:val="007D4977"/>
    <w:rsid w:val="00911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331CA"/>
  <w15:chartTrackingRefBased/>
  <w15:docId w15:val="{F6CA429B-644C-4EA7-844D-56063041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142FEA"/>
    <w:pPr>
      <w:spacing w:after="0" w:line="240" w:lineRule="auto"/>
    </w:pPr>
    <w:rPr>
      <w:rFonts w:ascii="Times New Roman" w:eastAsia="Times New Roman" w:hAnsi="Times New Roman" w:cs="Times New Roman"/>
      <w:sz w:val="24"/>
      <w:szCs w:val="24"/>
      <w:lang w:val="et-EE"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1434</Characters>
  <Application>Microsoft Office Word</Application>
  <DocSecurity>0</DocSecurity>
  <Lines>11</Lines>
  <Paragraphs>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Eesti Advo</dc:creator>
  <cp:keywords/>
  <dc:description/>
  <cp:lastModifiedBy>Jane Suur</cp:lastModifiedBy>
  <cp:revision>2</cp:revision>
  <dcterms:created xsi:type="dcterms:W3CDTF">2019-04-08T07:18:00Z</dcterms:created>
  <dcterms:modified xsi:type="dcterms:W3CDTF">2023-10-03T09:43:00Z</dcterms:modified>
</cp:coreProperties>
</file>