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EC31" w14:textId="77777777" w:rsidR="00D45C20" w:rsidRPr="00BC1CDA" w:rsidRDefault="00D45C20" w:rsidP="00D45C20">
      <w:pPr>
        <w:rPr>
          <w:color w:val="000000" w:themeColor="text1"/>
        </w:rPr>
      </w:pPr>
      <w:r w:rsidRPr="00BC1CDA">
        <w:rPr>
          <w:b w:val="0"/>
          <w:bCs/>
          <w:color w:val="000000" w:themeColor="text1"/>
        </w:rPr>
        <w:t>EESTI ADVOKATUURI JUHATUS</w:t>
      </w:r>
    </w:p>
    <w:p w14:paraId="6BDC1C18" w14:textId="77777777" w:rsidR="00D45C20" w:rsidRPr="00BC1CDA" w:rsidRDefault="00D45C20" w:rsidP="00D45C20">
      <w:pPr>
        <w:jc w:val="both"/>
        <w:rPr>
          <w:b w:val="0"/>
          <w:bCs/>
          <w:color w:val="000000" w:themeColor="text1"/>
        </w:rPr>
      </w:pPr>
      <w:r w:rsidRPr="00BC1CDA">
        <w:rPr>
          <w:b w:val="0"/>
          <w:bCs/>
          <w:color w:val="000000" w:themeColor="text1"/>
        </w:rPr>
        <w:t>ISTUNGI PROTOKOLL</w:t>
      </w:r>
    </w:p>
    <w:p w14:paraId="762EAE24" w14:textId="77777777" w:rsidR="00D45C20" w:rsidRPr="00BC1CDA" w:rsidRDefault="00D45C20" w:rsidP="00D45C20">
      <w:pPr>
        <w:jc w:val="both"/>
        <w:rPr>
          <w:b w:val="0"/>
          <w:bCs/>
          <w:color w:val="000000" w:themeColor="text1"/>
        </w:rPr>
      </w:pPr>
      <w:r w:rsidRPr="00BC1CDA">
        <w:rPr>
          <w:b w:val="0"/>
          <w:bCs/>
          <w:color w:val="000000" w:themeColor="text1"/>
        </w:rPr>
        <w:t xml:space="preserve">11. </w:t>
      </w:r>
      <w:r>
        <w:rPr>
          <w:b w:val="0"/>
          <w:bCs/>
          <w:color w:val="000000" w:themeColor="text1"/>
        </w:rPr>
        <w:t>detsember</w:t>
      </w:r>
      <w:r w:rsidRPr="00BC1CDA">
        <w:rPr>
          <w:b w:val="0"/>
          <w:bCs/>
          <w:color w:val="000000" w:themeColor="text1"/>
        </w:rPr>
        <w:t xml:space="preserve"> 2018. a nr 25</w:t>
      </w:r>
    </w:p>
    <w:p w14:paraId="77DB8ACB" w14:textId="77777777" w:rsidR="00D45C20" w:rsidRPr="00BC1CDA" w:rsidRDefault="00D45C20" w:rsidP="00D45C20">
      <w:pPr>
        <w:jc w:val="both"/>
        <w:rPr>
          <w:b w:val="0"/>
          <w:bCs/>
          <w:color w:val="000000" w:themeColor="text1"/>
        </w:rPr>
      </w:pPr>
      <w:r w:rsidRPr="00BC1CDA">
        <w:rPr>
          <w:b w:val="0"/>
          <w:bCs/>
          <w:color w:val="000000" w:themeColor="text1"/>
        </w:rPr>
        <w:t>Tallinn</w:t>
      </w:r>
    </w:p>
    <w:p w14:paraId="3C68875B" w14:textId="77777777" w:rsidR="00F7160E" w:rsidRDefault="00F7160E"/>
    <w:p w14:paraId="7ED4B5A9" w14:textId="77777777" w:rsidR="00E90704" w:rsidRDefault="00E90704" w:rsidP="00D45C20">
      <w:pPr>
        <w:jc w:val="both"/>
        <w:outlineLvl w:val="0"/>
        <w:rPr>
          <w:bCs/>
          <w:color w:val="000000"/>
        </w:rPr>
      </w:pPr>
    </w:p>
    <w:p w14:paraId="53F36D15" w14:textId="77777777" w:rsidR="00E90704" w:rsidRDefault="00E90704" w:rsidP="00D45C20">
      <w:pPr>
        <w:jc w:val="both"/>
        <w:outlineLvl w:val="0"/>
        <w:rPr>
          <w:bCs/>
          <w:color w:val="000000"/>
        </w:rPr>
      </w:pPr>
    </w:p>
    <w:p w14:paraId="111D8068" w14:textId="414A217C" w:rsidR="00D45C20" w:rsidRPr="00BC1CDA" w:rsidRDefault="00D45C20" w:rsidP="00D45C20">
      <w:pPr>
        <w:jc w:val="both"/>
        <w:outlineLvl w:val="0"/>
        <w:rPr>
          <w:bCs/>
          <w:color w:val="000000"/>
        </w:rPr>
      </w:pPr>
      <w:r w:rsidRPr="00BC1CDA">
        <w:rPr>
          <w:bCs/>
          <w:color w:val="000000"/>
        </w:rPr>
        <w:t>Mõiste „eriliselt töömahukas“ sisustamine kriminaalasjade kohtueelses menetluses</w:t>
      </w:r>
    </w:p>
    <w:p w14:paraId="33D3E129" w14:textId="77777777" w:rsidR="00D45C20" w:rsidRPr="00BC1CDA" w:rsidRDefault="00D45C20" w:rsidP="00D45C20">
      <w:pPr>
        <w:jc w:val="both"/>
        <w:outlineLvl w:val="0"/>
        <w:rPr>
          <w:bCs/>
          <w:color w:val="000000"/>
        </w:rPr>
      </w:pPr>
    </w:p>
    <w:p w14:paraId="6271B164" w14:textId="77777777" w:rsidR="00D45C20" w:rsidRDefault="00D45C20" w:rsidP="00D45C20">
      <w:pPr>
        <w:jc w:val="both"/>
        <w:rPr>
          <w:rFonts w:eastAsiaTheme="minorHAnsi"/>
          <w:b w:val="0"/>
          <w:szCs w:val="22"/>
          <w:lang w:eastAsia="en-US"/>
        </w:rPr>
      </w:pPr>
      <w:r w:rsidRPr="003B61D7">
        <w:rPr>
          <w:rFonts w:eastAsiaTheme="minorHAnsi"/>
          <w:b w:val="0"/>
          <w:lang w:eastAsia="en-US"/>
        </w:rPr>
        <w:t>Justiitsministeerium</w:t>
      </w:r>
      <w:r w:rsidRPr="003B61D7">
        <w:rPr>
          <w:rFonts w:eastAsiaTheme="minorHAnsi"/>
          <w:b w:val="0"/>
          <w:szCs w:val="22"/>
          <w:lang w:eastAsia="en-US"/>
        </w:rPr>
        <w:t xml:space="preserve"> on riigi õigusabi tulemusauditi „Riigi õigusabi osutamise tasustamise ja kulude hüvitamise korralduse mõjusus“ käigus soovitanud analüüsida </w:t>
      </w:r>
      <w:r w:rsidRPr="003B61D7">
        <w:rPr>
          <w:rFonts w:eastAsia="Calibri"/>
          <w:b w:val="0"/>
          <w:color w:val="000000"/>
          <w:szCs w:val="22"/>
          <w:lang w:eastAsia="en-US"/>
        </w:rPr>
        <w:t xml:space="preserve">justiitsministri 26.07.2016 määruses nr 16 „Riigi õigusabi osutamise eest makstava tasu arvestamise alused, maksmise kord, tasumäärad, riigi õigusabi osutamisega kaasnevate kulude hüvitamise ulatus ja kord ning taotluse esitamise tingimused“ toodud </w:t>
      </w:r>
      <w:r w:rsidRPr="003B61D7">
        <w:rPr>
          <w:rFonts w:eastAsiaTheme="minorHAnsi"/>
          <w:b w:val="0"/>
          <w:szCs w:val="22"/>
          <w:lang w:eastAsia="en-US"/>
        </w:rPr>
        <w:t xml:space="preserve">mõistet „eriliselt töömahukas“. Advokatuuril tuleb koostöös Justiitsministeeriumiga kujundada kriteeriumid mõiste sisustamiseks. </w:t>
      </w:r>
    </w:p>
    <w:p w14:paraId="3EAF3ED1" w14:textId="77777777" w:rsidR="00D45C20" w:rsidRPr="003B61D7" w:rsidRDefault="00D45C20" w:rsidP="00D45C20">
      <w:pPr>
        <w:jc w:val="both"/>
        <w:rPr>
          <w:rFonts w:eastAsiaTheme="minorHAnsi"/>
          <w:b w:val="0"/>
          <w:szCs w:val="22"/>
          <w:lang w:eastAsia="en-US"/>
        </w:rPr>
      </w:pPr>
    </w:p>
    <w:p w14:paraId="6409AA92" w14:textId="77777777" w:rsidR="00D45C20" w:rsidRDefault="00D45C20" w:rsidP="00D45C20">
      <w:pPr>
        <w:jc w:val="both"/>
        <w:rPr>
          <w:rFonts w:eastAsiaTheme="minorHAnsi"/>
          <w:b w:val="0"/>
          <w:lang w:eastAsia="en-US"/>
        </w:rPr>
      </w:pPr>
      <w:r w:rsidRPr="003B61D7">
        <w:rPr>
          <w:rFonts w:eastAsiaTheme="minorHAnsi"/>
          <w:b w:val="0"/>
          <w:lang w:eastAsia="en-US"/>
        </w:rPr>
        <w:t xml:space="preserve">Auditi käigus tuvastatud praktika kohaselt sõltub tasu suurendamise protsendimäära taotlemine suuresti advokaadi kogemusest, südametunnistusest ja õiglustundest. </w:t>
      </w:r>
      <w:r w:rsidRPr="003B61D7">
        <w:rPr>
          <w:rFonts w:eastAsiaTheme="minorHAnsi"/>
          <w:b w:val="0"/>
          <w:szCs w:val="22"/>
          <w:lang w:eastAsia="en-US"/>
        </w:rPr>
        <w:t xml:space="preserve">Tasu suurendamise protsendi määramisel on </w:t>
      </w:r>
      <w:r w:rsidRPr="003B61D7">
        <w:rPr>
          <w:rFonts w:eastAsiaTheme="minorHAnsi"/>
          <w:b w:val="0"/>
          <w:lang w:eastAsia="en-US"/>
        </w:rPr>
        <w:t xml:space="preserve">oluline tagada läbipaistvus, õiglus ja võrdne kohtlemine, seega tuleks auditi hinnangul tasu põhjendatuse hindamisel arvestada nii kriminaalasja keerukust, õigusteenuse osutamiseks vajalike toimingute ja materjalide mahtu </w:t>
      </w:r>
      <w:r>
        <w:rPr>
          <w:rFonts w:eastAsiaTheme="minorHAnsi"/>
          <w:b w:val="0"/>
          <w:lang w:eastAsia="en-US"/>
        </w:rPr>
        <w:t>kui ka</w:t>
      </w:r>
      <w:r w:rsidRPr="003B61D7">
        <w:rPr>
          <w:rFonts w:eastAsiaTheme="minorHAnsi"/>
          <w:b w:val="0"/>
          <w:lang w:eastAsia="en-US"/>
        </w:rPr>
        <w:t xml:space="preserve"> ajakulu.</w:t>
      </w:r>
    </w:p>
    <w:p w14:paraId="61E18A4A" w14:textId="77777777" w:rsidR="00D45C20" w:rsidRPr="003B61D7" w:rsidRDefault="00D45C20" w:rsidP="00D45C20">
      <w:pPr>
        <w:jc w:val="both"/>
        <w:rPr>
          <w:rFonts w:eastAsiaTheme="minorHAnsi"/>
          <w:b w:val="0"/>
          <w:szCs w:val="22"/>
          <w:lang w:eastAsia="en-US"/>
        </w:rPr>
      </w:pPr>
    </w:p>
    <w:p w14:paraId="24831E43" w14:textId="77777777" w:rsidR="00D45C20" w:rsidRDefault="00D45C20" w:rsidP="00D45C20">
      <w:pPr>
        <w:jc w:val="both"/>
        <w:rPr>
          <w:b w:val="0"/>
          <w:lang w:eastAsia="en-US"/>
        </w:rPr>
      </w:pPr>
      <w:bookmarkStart w:id="0" w:name="_Hlk531776829"/>
      <w:r w:rsidRPr="003B61D7">
        <w:rPr>
          <w:rFonts w:eastAsiaTheme="minorHAnsi"/>
          <w:b w:val="0"/>
          <w:lang w:eastAsia="en-US"/>
        </w:rPr>
        <w:t xml:space="preserve">Juhatus, olles tutvunud riigi õigusabi komisjoni seisukohaga, leiab, et kriminaalmenetluse kohtueelses menetluses tuleb kaaluda erilise töömahukuse tõttu tasu suurendamist, kui kriminaalasjas on </w:t>
      </w:r>
      <w:r>
        <w:rPr>
          <w:rFonts w:eastAsiaTheme="minorHAnsi"/>
          <w:b w:val="0"/>
          <w:lang w:eastAsia="en-US"/>
        </w:rPr>
        <w:t>koostatud</w:t>
      </w:r>
      <w:r w:rsidRPr="003B61D7">
        <w:rPr>
          <w:rFonts w:eastAsiaTheme="minorHAnsi"/>
          <w:b w:val="0"/>
          <w:lang w:eastAsia="en-US"/>
        </w:rPr>
        <w:t xml:space="preserve"> rohkem kui üks toimik</w:t>
      </w:r>
      <w:r>
        <w:rPr>
          <w:rFonts w:eastAsiaTheme="minorHAnsi"/>
          <w:b w:val="0"/>
          <w:lang w:eastAsia="en-US"/>
        </w:rPr>
        <w:t>uköide</w:t>
      </w:r>
      <w:r w:rsidRPr="003B61D7">
        <w:rPr>
          <w:rFonts w:eastAsiaTheme="minorHAnsi"/>
          <w:b w:val="0"/>
          <w:lang w:eastAsia="en-US"/>
        </w:rPr>
        <w:t>. Statistiliselt on suur osa kriminaalasjade toimikutest üheköitelised ning reeglina mitte eriliselt töömahukad. Kriminaalasju võib juhatuse hinnangul pidada eriliselt töömahukateks ning taotleda tasu suurendamist alatest toimiku</w:t>
      </w:r>
      <w:r w:rsidRPr="00725BC4">
        <w:rPr>
          <w:rFonts w:eastAsiaTheme="minorHAnsi"/>
          <w:b w:val="0"/>
          <w:lang w:eastAsia="en-US"/>
        </w:rPr>
        <w:t xml:space="preserve"> </w:t>
      </w:r>
      <w:r w:rsidRPr="003B61D7">
        <w:rPr>
          <w:rFonts w:eastAsiaTheme="minorHAnsi"/>
          <w:b w:val="0"/>
          <w:lang w:eastAsia="en-US"/>
        </w:rPr>
        <w:t>teisest</w:t>
      </w:r>
      <w:r>
        <w:rPr>
          <w:rFonts w:eastAsiaTheme="minorHAnsi"/>
          <w:b w:val="0"/>
          <w:lang w:eastAsia="en-US"/>
        </w:rPr>
        <w:t xml:space="preserve"> köitest</w:t>
      </w:r>
      <w:r w:rsidRPr="003B61D7">
        <w:rPr>
          <w:rFonts w:eastAsiaTheme="minorHAnsi"/>
          <w:b w:val="0"/>
          <w:lang w:eastAsia="en-US"/>
        </w:rPr>
        <w:t>. Märkida tuleb, et kaitsja peab enamasti tutvuma</w:t>
      </w:r>
      <w:r w:rsidRPr="003B61D7">
        <w:rPr>
          <w:b w:val="0"/>
          <w:lang w:eastAsia="en-US"/>
        </w:rPr>
        <w:t xml:space="preserve"> kõigi toimikusse lisatud materjalidega, sest kaitsepositsiooni seisukohast võivad oluliseks osutuda ka need toimikud, mis on asjassepuutumatutena prokuröri diskretsiooni alusel kõrvaldatud. </w:t>
      </w:r>
    </w:p>
    <w:p w14:paraId="552CC0F6" w14:textId="77777777" w:rsidR="00D45C20" w:rsidRPr="003B61D7" w:rsidRDefault="00D45C20" w:rsidP="00D45C20">
      <w:pPr>
        <w:jc w:val="both"/>
        <w:rPr>
          <w:b w:val="0"/>
          <w:lang w:eastAsia="en-US"/>
        </w:rPr>
      </w:pPr>
    </w:p>
    <w:p w14:paraId="30F3884B" w14:textId="77777777" w:rsidR="00D45C20" w:rsidRPr="003B61D7" w:rsidRDefault="00D45C20" w:rsidP="00D45C20">
      <w:pPr>
        <w:jc w:val="both"/>
        <w:rPr>
          <w:b w:val="0"/>
          <w:lang w:eastAsia="en-US"/>
        </w:rPr>
      </w:pPr>
      <w:r w:rsidRPr="003B61D7">
        <w:rPr>
          <w:b w:val="0"/>
          <w:lang w:eastAsia="en-US"/>
        </w:rPr>
        <w:t xml:space="preserve">Samuti on juhatus seisukohal, et </w:t>
      </w:r>
      <w:r w:rsidRPr="003B61D7">
        <w:rPr>
          <w:rFonts w:eastAsiaTheme="minorHAnsi"/>
          <w:b w:val="0"/>
          <w:lang w:eastAsia="en-US"/>
        </w:rPr>
        <w:t xml:space="preserve">tasustamise üldine eesmärk peaks olema suunatud sellele, et teenust osutades reaalselt kulutatud aeg saaks täies mahus tasustatud. Seega </w:t>
      </w:r>
      <w:r w:rsidRPr="003B61D7">
        <w:rPr>
          <w:b w:val="0"/>
          <w:lang w:eastAsia="en-US"/>
        </w:rPr>
        <w:t xml:space="preserve">teeb juhatus ettepaneku tasustada (kohtueelses menetluses) salvestistega tutvumist ja tutvustamist piirmäära rakendamata ehk lähtuda tasustamisel tegelikult </w:t>
      </w:r>
      <w:r>
        <w:rPr>
          <w:b w:val="0"/>
          <w:lang w:eastAsia="en-US"/>
        </w:rPr>
        <w:t xml:space="preserve">salvestisega tutvumisele </w:t>
      </w:r>
      <w:r w:rsidRPr="003B61D7">
        <w:rPr>
          <w:b w:val="0"/>
          <w:lang w:eastAsia="en-US"/>
        </w:rPr>
        <w:t xml:space="preserve">kulunud ajast. </w:t>
      </w:r>
    </w:p>
    <w:bookmarkEnd w:id="0"/>
    <w:p w14:paraId="09C06071" w14:textId="77777777" w:rsidR="00D45C20" w:rsidRDefault="00D45C20" w:rsidP="00D45C20">
      <w:pPr>
        <w:jc w:val="both"/>
        <w:rPr>
          <w:b w:val="0"/>
          <w:lang w:eastAsia="en-US"/>
        </w:rPr>
      </w:pPr>
    </w:p>
    <w:p w14:paraId="3440958F" w14:textId="77777777" w:rsidR="00D45C20" w:rsidRPr="003B61D7" w:rsidRDefault="00D45C20" w:rsidP="00D45C20">
      <w:pPr>
        <w:jc w:val="both"/>
        <w:rPr>
          <w:b w:val="0"/>
          <w:lang w:eastAsia="en-US"/>
        </w:rPr>
      </w:pPr>
    </w:p>
    <w:p w14:paraId="2CB665DE" w14:textId="77777777" w:rsidR="00D45C20" w:rsidRPr="003B61D7" w:rsidRDefault="00D45C20" w:rsidP="00D45C20">
      <w:pPr>
        <w:jc w:val="both"/>
        <w:rPr>
          <w:b w:val="0"/>
          <w:lang w:eastAsia="en-US"/>
        </w:rPr>
      </w:pPr>
      <w:r w:rsidRPr="003B61D7">
        <w:rPr>
          <w:b w:val="0"/>
          <w:lang w:eastAsia="en-US"/>
        </w:rPr>
        <w:t xml:space="preserve">Juhatus </w:t>
      </w:r>
    </w:p>
    <w:p w14:paraId="6C6EC419" w14:textId="77777777" w:rsidR="00D45C20" w:rsidRPr="003B61D7" w:rsidRDefault="00D45C20" w:rsidP="00D45C20">
      <w:pPr>
        <w:spacing w:after="160" w:line="259" w:lineRule="auto"/>
        <w:jc w:val="both"/>
        <w:rPr>
          <w:b w:val="0"/>
          <w:lang w:eastAsia="en-US"/>
        </w:rPr>
      </w:pPr>
    </w:p>
    <w:p w14:paraId="7065D3BD" w14:textId="77777777" w:rsidR="00D45C20" w:rsidRPr="003B61D7" w:rsidRDefault="00D45C20" w:rsidP="00D45C20">
      <w:pPr>
        <w:spacing w:after="160" w:line="259" w:lineRule="auto"/>
        <w:jc w:val="both"/>
        <w:rPr>
          <w:lang w:eastAsia="en-US"/>
        </w:rPr>
      </w:pPr>
      <w:r w:rsidRPr="003B61D7">
        <w:rPr>
          <w:lang w:eastAsia="en-US"/>
        </w:rPr>
        <w:t>O T S U S T A S:</w:t>
      </w:r>
    </w:p>
    <w:p w14:paraId="0D78DFCA" w14:textId="77777777" w:rsidR="00D45C20" w:rsidRPr="003B61D7" w:rsidRDefault="00D45C20" w:rsidP="00D45C20">
      <w:pPr>
        <w:jc w:val="both"/>
        <w:rPr>
          <w:rFonts w:eastAsiaTheme="minorHAnsi"/>
          <w:szCs w:val="22"/>
          <w:lang w:eastAsia="en-US"/>
        </w:rPr>
      </w:pPr>
      <w:r w:rsidRPr="003B61D7">
        <w:rPr>
          <w:lang w:eastAsia="en-US"/>
        </w:rPr>
        <w:t xml:space="preserve">Teha Justiitsministeeriumile advokatuuri seisukoht teatavaks ning </w:t>
      </w:r>
      <w:r w:rsidRPr="003B61D7">
        <w:rPr>
          <w:rFonts w:eastAsiaTheme="minorHAnsi"/>
          <w:szCs w:val="22"/>
          <w:lang w:eastAsia="en-US"/>
        </w:rPr>
        <w:t>kujundada koostöös kriteeriumid mõiste sisustamiseks.</w:t>
      </w:r>
    </w:p>
    <w:p w14:paraId="712E1209" w14:textId="77777777" w:rsidR="00871CC2" w:rsidRDefault="00871CC2" w:rsidP="00D9333D">
      <w:pPr>
        <w:jc w:val="both"/>
        <w:outlineLvl w:val="0"/>
      </w:pPr>
    </w:p>
    <w:sectPr w:rsidR="0087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60B"/>
    <w:multiLevelType w:val="multilevel"/>
    <w:tmpl w:val="8D6E3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D67EC6"/>
    <w:multiLevelType w:val="multilevel"/>
    <w:tmpl w:val="891A41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89405298">
    <w:abstractNumId w:val="0"/>
  </w:num>
  <w:num w:numId="2" w16cid:durableId="148519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12"/>
    <w:rsid w:val="00186A97"/>
    <w:rsid w:val="001B3A3E"/>
    <w:rsid w:val="0025331C"/>
    <w:rsid w:val="006E1B2C"/>
    <w:rsid w:val="007658FC"/>
    <w:rsid w:val="00796C44"/>
    <w:rsid w:val="00871CC2"/>
    <w:rsid w:val="009300D6"/>
    <w:rsid w:val="00A12812"/>
    <w:rsid w:val="00B40BFF"/>
    <w:rsid w:val="00BA37CD"/>
    <w:rsid w:val="00D45C20"/>
    <w:rsid w:val="00D9333D"/>
    <w:rsid w:val="00E90704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2865"/>
  <w15:chartTrackingRefBased/>
  <w15:docId w15:val="{085C4653-C59F-4170-BA2E-F4BFD0F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128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D9333D"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E1B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ealkiri1Mrk">
    <w:name w:val="Pealkiri 1 Märk"/>
    <w:basedOn w:val="Liguvaikefont"/>
    <w:link w:val="Pealkiri1"/>
    <w:rsid w:val="00D9333D"/>
    <w:rPr>
      <w:rFonts w:ascii="Times New Roman" w:eastAsia="Times New Roman" w:hAnsi="Times New Roman" w:cs="Times New Roman"/>
      <w:b/>
      <w:bCs/>
      <w:kern w:val="32"/>
      <w:sz w:val="24"/>
      <w:szCs w:val="32"/>
      <w:lang w:eastAsia="et-EE"/>
    </w:rPr>
  </w:style>
  <w:style w:type="paragraph" w:customStyle="1" w:styleId="Default">
    <w:name w:val="Default"/>
    <w:autoRedefine/>
    <w:rsid w:val="00D45C20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b/>
      <w:color w:val="000000" w:themeColor="text1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Paart</dc:creator>
  <cp:keywords/>
  <dc:description/>
  <cp:lastModifiedBy>Jane Suur</cp:lastModifiedBy>
  <cp:revision>3</cp:revision>
  <dcterms:created xsi:type="dcterms:W3CDTF">2019-04-24T13:40:00Z</dcterms:created>
  <dcterms:modified xsi:type="dcterms:W3CDTF">2023-10-02T09:24:00Z</dcterms:modified>
</cp:coreProperties>
</file>