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C113B" w14:textId="77777777" w:rsidR="0092757F" w:rsidRPr="00956B87" w:rsidRDefault="0092757F" w:rsidP="0092757F">
      <w:pPr>
        <w:tabs>
          <w:tab w:val="left" w:pos="2410"/>
        </w:tabs>
        <w:jc w:val="both"/>
        <w:rPr>
          <w:color w:val="000000"/>
        </w:rPr>
      </w:pPr>
      <w:r w:rsidRPr="00956B87">
        <w:rPr>
          <w:color w:val="000000"/>
        </w:rPr>
        <w:t>EESTI ADVOKATUURI JUHATUS</w:t>
      </w:r>
    </w:p>
    <w:p w14:paraId="23ADD1C3" w14:textId="77777777" w:rsidR="0092757F" w:rsidRPr="00956B87" w:rsidRDefault="0092757F" w:rsidP="0092757F">
      <w:pPr>
        <w:tabs>
          <w:tab w:val="right" w:pos="8666"/>
        </w:tabs>
        <w:jc w:val="both"/>
        <w:rPr>
          <w:color w:val="000000"/>
        </w:rPr>
      </w:pPr>
      <w:r w:rsidRPr="00956B87">
        <w:rPr>
          <w:color w:val="000000"/>
        </w:rPr>
        <w:t>ISTUNGI PROTOKOLL</w:t>
      </w:r>
    </w:p>
    <w:p w14:paraId="5E54EAB3" w14:textId="77777777" w:rsidR="0092757F" w:rsidRPr="00956B87" w:rsidRDefault="0092757F" w:rsidP="0092757F">
      <w:pPr>
        <w:tabs>
          <w:tab w:val="left" w:pos="5340"/>
        </w:tabs>
        <w:jc w:val="both"/>
        <w:rPr>
          <w:color w:val="000000"/>
        </w:rPr>
      </w:pPr>
      <w:r>
        <w:rPr>
          <w:color w:val="000000"/>
        </w:rPr>
        <w:t>13</w:t>
      </w:r>
      <w:r w:rsidRPr="00956B87">
        <w:rPr>
          <w:color w:val="000000"/>
        </w:rPr>
        <w:t xml:space="preserve">. </w:t>
      </w:r>
      <w:r>
        <w:rPr>
          <w:color w:val="000000"/>
        </w:rPr>
        <w:t>juuni</w:t>
      </w:r>
      <w:r w:rsidRPr="00956B87">
        <w:rPr>
          <w:color w:val="000000"/>
        </w:rPr>
        <w:t xml:space="preserve"> 2017. a nr </w:t>
      </w:r>
      <w:r>
        <w:rPr>
          <w:color w:val="000000"/>
        </w:rPr>
        <w:t>13</w:t>
      </w:r>
    </w:p>
    <w:p w14:paraId="7ABCAC17" w14:textId="77777777" w:rsidR="0092757F" w:rsidRPr="00956B87" w:rsidRDefault="0092757F" w:rsidP="0092757F">
      <w:pPr>
        <w:tabs>
          <w:tab w:val="left" w:pos="5340"/>
        </w:tabs>
        <w:jc w:val="both"/>
        <w:rPr>
          <w:color w:val="000000"/>
        </w:rPr>
      </w:pPr>
      <w:r w:rsidRPr="00956B87">
        <w:rPr>
          <w:color w:val="000000"/>
        </w:rPr>
        <w:t>Tallinn</w:t>
      </w:r>
    </w:p>
    <w:p w14:paraId="3322F11B" w14:textId="77777777" w:rsidR="00D21FF5" w:rsidRDefault="00D21FF5" w:rsidP="00D21FF5">
      <w:pPr>
        <w:jc w:val="both"/>
        <w:rPr>
          <w:b/>
          <w:bCs/>
          <w:color w:val="000000"/>
        </w:rPr>
      </w:pPr>
    </w:p>
    <w:p w14:paraId="22CAEA0A" w14:textId="77777777" w:rsidR="00F433DE" w:rsidRDefault="00F433DE" w:rsidP="00D21FF5">
      <w:pPr>
        <w:jc w:val="both"/>
        <w:rPr>
          <w:b/>
          <w:bCs/>
          <w:color w:val="000000"/>
        </w:rPr>
      </w:pPr>
    </w:p>
    <w:p w14:paraId="4462FC5D" w14:textId="77777777" w:rsidR="00F433DE" w:rsidRDefault="00F433DE" w:rsidP="00D21FF5">
      <w:pPr>
        <w:jc w:val="both"/>
        <w:rPr>
          <w:b/>
          <w:bCs/>
          <w:color w:val="000000"/>
        </w:rPr>
      </w:pPr>
    </w:p>
    <w:p w14:paraId="5E88714C" w14:textId="247863A3" w:rsidR="003C6830" w:rsidRPr="00BB6346" w:rsidRDefault="003C6830" w:rsidP="003C6830">
      <w:pPr>
        <w:keepNext/>
        <w:outlineLvl w:val="0"/>
        <w:rPr>
          <w:b/>
          <w:bCs/>
          <w:kern w:val="32"/>
          <w:szCs w:val="32"/>
          <w:lang w:val="x-none" w:eastAsia="x-none"/>
        </w:rPr>
      </w:pPr>
      <w:r w:rsidRPr="00BB6346">
        <w:rPr>
          <w:b/>
          <w:bCs/>
          <w:kern w:val="32"/>
          <w:szCs w:val="32"/>
          <w:lang w:val="x-none" w:eastAsia="x-none"/>
        </w:rPr>
        <w:t>Partneri nime</w:t>
      </w:r>
      <w:r>
        <w:rPr>
          <w:b/>
          <w:bCs/>
          <w:kern w:val="32"/>
          <w:szCs w:val="32"/>
          <w:lang w:eastAsia="x-none"/>
        </w:rPr>
        <w:t>tuse</w:t>
      </w:r>
      <w:r w:rsidRPr="00BB6346">
        <w:rPr>
          <w:b/>
          <w:bCs/>
          <w:kern w:val="32"/>
          <w:szCs w:val="32"/>
          <w:lang w:val="x-none" w:eastAsia="x-none"/>
        </w:rPr>
        <w:t xml:space="preserve"> kasutamisest</w:t>
      </w:r>
    </w:p>
    <w:p w14:paraId="336F5E4E" w14:textId="77777777" w:rsidR="003C6830" w:rsidRPr="00BB6346" w:rsidRDefault="003C6830" w:rsidP="003C6830">
      <w:pPr>
        <w:jc w:val="both"/>
        <w:rPr>
          <w:bCs/>
          <w:color w:val="000000"/>
        </w:rPr>
      </w:pPr>
    </w:p>
    <w:p w14:paraId="5281AD2D" w14:textId="77777777" w:rsidR="003C6830" w:rsidRDefault="003C6830" w:rsidP="003C6830">
      <w:pPr>
        <w:jc w:val="both"/>
        <w:rPr>
          <w:rFonts w:cs="Arial"/>
          <w:szCs w:val="20"/>
        </w:rPr>
      </w:pPr>
      <w:r>
        <w:rPr>
          <w:rFonts w:cs="Arial"/>
          <w:szCs w:val="20"/>
        </w:rPr>
        <w:t>Advokatuuri juhatus on järelevalve käigus tuvastanud partneri nimetuse väga erinevat kasutamist. Advokaadibüroo „partneriks“ või „juhtivpartneriks“ on nimetatud isikut, kes ei ole kunagi kuulunud advokatuuri või kes on emeriteerunud. Kuna partneri tiitlit kasutavad advokaadid kutsetegevuses sageli ametinimetusena, vajab juhatuse hinnangul partneri nimetuse kasutus klientide, kolleegide ja kolmandate isikute eksitamise vältimiseks selgeid juhiseid ning seni tavana kehtinud reeglite juhatuse seisukohana kirjapanekut.</w:t>
      </w:r>
    </w:p>
    <w:p w14:paraId="53DD8531" w14:textId="77777777" w:rsidR="003C6830" w:rsidRDefault="003C6830" w:rsidP="003C6830">
      <w:pPr>
        <w:jc w:val="both"/>
        <w:rPr>
          <w:rFonts w:cs="Arial"/>
          <w:szCs w:val="20"/>
        </w:rPr>
      </w:pPr>
    </w:p>
    <w:p w14:paraId="744B8D94" w14:textId="77777777" w:rsidR="003C6830" w:rsidRDefault="003C6830" w:rsidP="003C6830">
      <w:pPr>
        <w:jc w:val="both"/>
        <w:rPr>
          <w:rFonts w:cs="Arial"/>
          <w:szCs w:val="20"/>
        </w:rPr>
      </w:pPr>
      <w:r>
        <w:rPr>
          <w:rFonts w:cs="Arial"/>
          <w:szCs w:val="20"/>
        </w:rPr>
        <w:t xml:space="preserve">Juhatuse palvel olukorda analüüsinud eetika- ja metoodikakomisjon leiab, et </w:t>
      </w:r>
      <w:r w:rsidRPr="00B26DD4">
        <w:rPr>
          <w:rFonts w:cs="Arial"/>
          <w:szCs w:val="20"/>
        </w:rPr>
        <w:t>partneri nimetuse kasutamine (kas täiendiga või ilma) eeldab advokatuuri liikmeks ja konkreetsemalt vandeadvokaadiks olemist.</w:t>
      </w:r>
    </w:p>
    <w:p w14:paraId="11834C5F" w14:textId="77777777" w:rsidR="003C6830" w:rsidRDefault="003C6830" w:rsidP="003C6830">
      <w:pPr>
        <w:jc w:val="both"/>
        <w:rPr>
          <w:rFonts w:cs="Arial"/>
          <w:szCs w:val="20"/>
        </w:rPr>
      </w:pPr>
    </w:p>
    <w:p w14:paraId="751597AC" w14:textId="77777777" w:rsidR="003C6830" w:rsidRDefault="003C6830" w:rsidP="003C6830">
      <w:pPr>
        <w:jc w:val="both"/>
        <w:rPr>
          <w:rFonts w:cs="Arial"/>
          <w:szCs w:val="20"/>
        </w:rPr>
      </w:pPr>
      <w:r>
        <w:rPr>
          <w:rFonts w:cs="Arial"/>
          <w:szCs w:val="20"/>
        </w:rPr>
        <w:t>Angloameerika õiguskordades viitab partneri mõiste advokaadibürood pidavas täisühingus (</w:t>
      </w:r>
      <w:r>
        <w:rPr>
          <w:rFonts w:cs="Arial"/>
          <w:i/>
          <w:szCs w:val="20"/>
        </w:rPr>
        <w:t>partnership</w:t>
      </w:r>
      <w:r>
        <w:rPr>
          <w:rFonts w:cs="Arial"/>
          <w:szCs w:val="20"/>
        </w:rPr>
        <w:t xml:space="preserve">) omanikuriski võtmisele ja kasumi jaotamises osalemisele. Partneri staatus viitab seega üksinda või koos teiste partneritega büroopidaja üle kontrolli teostamisele. </w:t>
      </w:r>
    </w:p>
    <w:p w14:paraId="5868A668" w14:textId="77777777" w:rsidR="003C6830" w:rsidRDefault="003C6830" w:rsidP="003C6830">
      <w:pPr>
        <w:jc w:val="both"/>
        <w:rPr>
          <w:rFonts w:cs="Arial"/>
          <w:szCs w:val="20"/>
        </w:rPr>
      </w:pPr>
    </w:p>
    <w:p w14:paraId="41C4C69D" w14:textId="77777777" w:rsidR="003C6830" w:rsidRDefault="003C6830" w:rsidP="003C6830">
      <w:pPr>
        <w:jc w:val="both"/>
        <w:rPr>
          <w:rFonts w:cs="Arial"/>
          <w:szCs w:val="20"/>
        </w:rPr>
      </w:pPr>
      <w:r>
        <w:rPr>
          <w:rFonts w:cs="Arial"/>
          <w:szCs w:val="20"/>
        </w:rPr>
        <w:t xml:space="preserve">Eestis on advokaadibüroode omanikering seadusega piiratud ning advokatuur teostab järelevalvet advokaadibüroode tegevuse üle muu hulgas läbi järelevalve bürood kontrollivate isikute üle. </w:t>
      </w:r>
      <w:r w:rsidRPr="00B26DD4">
        <w:rPr>
          <w:rFonts w:cs="Arial"/>
          <w:szCs w:val="20"/>
        </w:rPr>
        <w:t>AdvS § 49 kohaselt on advokaadibüroo pidajaks kas advokaadiühing või füüsilisest isikust ettevõtjana tegutsev vandeadvokaat, viimane omakorda võib seltsingulepingu alusel advokaadibürood pidada koos teiste füüsilisest isikust ettevõtjatena tegutsevate vandeadvokaatidega. AdvS § 50 ja § 54 kohaselt saab advokaadiühingu osanikuks või aktsionäriks olla ainult vandeadvokaat. AdvS § 69 kohaselt laieneb selline õigus ka assotsieerunud liikmele.</w:t>
      </w:r>
      <w:r>
        <w:rPr>
          <w:rFonts w:cs="Arial"/>
          <w:szCs w:val="20"/>
        </w:rPr>
        <w:t xml:space="preserve"> Seetõttu on põhjendatud ka Eestis partneri staatuse sidumine advokaadibüroo üle kontrolli teostamisega ning </w:t>
      </w:r>
      <w:r w:rsidRPr="00B3658E">
        <w:rPr>
          <w:rFonts w:cs="Arial"/>
          <w:iCs/>
          <w:szCs w:val="20"/>
        </w:rPr>
        <w:t>partneri</w:t>
      </w:r>
      <w:r w:rsidRPr="00B26DD4">
        <w:rPr>
          <w:rFonts w:cs="Arial"/>
          <w:szCs w:val="20"/>
        </w:rPr>
        <w:t xml:space="preserve"> tiitli kandjalt </w:t>
      </w:r>
      <w:r>
        <w:rPr>
          <w:rFonts w:cs="Arial"/>
          <w:szCs w:val="20"/>
        </w:rPr>
        <w:t xml:space="preserve">tuleb eeldada omanikustaatust </w:t>
      </w:r>
      <w:r w:rsidRPr="00B26DD4">
        <w:rPr>
          <w:rFonts w:cs="Arial"/>
          <w:szCs w:val="20"/>
        </w:rPr>
        <w:t xml:space="preserve">või </w:t>
      </w:r>
      <w:r>
        <w:rPr>
          <w:rFonts w:cs="Arial"/>
          <w:szCs w:val="20"/>
        </w:rPr>
        <w:t xml:space="preserve">muul moel (näiteks lepinguga) </w:t>
      </w:r>
      <w:r w:rsidRPr="00B26DD4">
        <w:rPr>
          <w:rFonts w:cs="Arial"/>
          <w:szCs w:val="20"/>
        </w:rPr>
        <w:t>kontrolli omamist advokaadibüroo tege</w:t>
      </w:r>
      <w:r>
        <w:rPr>
          <w:rFonts w:cs="Arial"/>
          <w:szCs w:val="20"/>
        </w:rPr>
        <w:t xml:space="preserve">vuse ning oluliste otsuste üle – ükskõik, </w:t>
      </w:r>
      <w:r w:rsidRPr="00B26DD4">
        <w:rPr>
          <w:rFonts w:cs="Arial"/>
          <w:szCs w:val="20"/>
        </w:rPr>
        <w:t xml:space="preserve">kas eraldi või koos teiste samasuguses staatuses olevate </w:t>
      </w:r>
      <w:r>
        <w:rPr>
          <w:rFonts w:cs="Arial"/>
          <w:szCs w:val="20"/>
        </w:rPr>
        <w:t xml:space="preserve">isikutega. </w:t>
      </w:r>
    </w:p>
    <w:p w14:paraId="35043EEA" w14:textId="77777777" w:rsidR="003C6830" w:rsidRDefault="003C6830" w:rsidP="003C6830">
      <w:pPr>
        <w:jc w:val="both"/>
        <w:rPr>
          <w:rFonts w:cs="Arial"/>
          <w:szCs w:val="20"/>
        </w:rPr>
      </w:pPr>
    </w:p>
    <w:p w14:paraId="7EEE7497" w14:textId="77777777" w:rsidR="003C6830" w:rsidRDefault="003C6830" w:rsidP="003C6830">
      <w:pPr>
        <w:jc w:val="both"/>
        <w:rPr>
          <w:rFonts w:cs="Arial"/>
          <w:szCs w:val="20"/>
        </w:rPr>
      </w:pPr>
      <w:r>
        <w:rPr>
          <w:rFonts w:cs="Arial"/>
          <w:szCs w:val="20"/>
        </w:rPr>
        <w:t xml:space="preserve">Advokaadibüroodele tuleb anda mõistlik aeg partneri tiitli kasutuse käesoleva otsusega kooskõlla viimiseks. Juhatuse hinnangul on umbes kaks kuud piisav. </w:t>
      </w:r>
    </w:p>
    <w:p w14:paraId="1CFBC00A" w14:textId="77777777" w:rsidR="003C6830" w:rsidRDefault="003C6830" w:rsidP="003C6830">
      <w:pPr>
        <w:jc w:val="both"/>
        <w:rPr>
          <w:rFonts w:cs="Arial"/>
          <w:szCs w:val="20"/>
        </w:rPr>
      </w:pPr>
    </w:p>
    <w:p w14:paraId="01030ACA" w14:textId="77777777" w:rsidR="003C6830" w:rsidRDefault="003C6830" w:rsidP="003C6830">
      <w:pPr>
        <w:jc w:val="both"/>
        <w:rPr>
          <w:rFonts w:cs="Arial"/>
          <w:b/>
          <w:bCs/>
          <w:szCs w:val="20"/>
        </w:rPr>
      </w:pPr>
      <w:r w:rsidRPr="00B26DD4">
        <w:br/>
      </w:r>
      <w:r w:rsidRPr="00B26DD4">
        <w:rPr>
          <w:rFonts w:cs="Arial"/>
          <w:szCs w:val="20"/>
        </w:rPr>
        <w:t>Juhatus</w:t>
      </w:r>
      <w:r w:rsidRPr="00B26DD4">
        <w:br/>
      </w:r>
      <w:r w:rsidRPr="00B26DD4">
        <w:br/>
      </w:r>
      <w:r w:rsidRPr="00B26DD4">
        <w:rPr>
          <w:rFonts w:cs="Arial"/>
          <w:b/>
          <w:bCs/>
          <w:szCs w:val="20"/>
        </w:rPr>
        <w:t>O T S U S T A S:</w:t>
      </w:r>
    </w:p>
    <w:p w14:paraId="6CC1A1F9" w14:textId="77777777" w:rsidR="003C6830" w:rsidRDefault="003C6830" w:rsidP="003C6830">
      <w:pPr>
        <w:jc w:val="both"/>
        <w:rPr>
          <w:rFonts w:cs="Arial"/>
          <w:b/>
          <w:bCs/>
          <w:szCs w:val="20"/>
        </w:rPr>
      </w:pPr>
      <w:r w:rsidRPr="00B26DD4">
        <w:br/>
      </w:r>
      <w:r w:rsidRPr="00CD539C">
        <w:rPr>
          <w:rFonts w:cs="Arial"/>
          <w:b/>
          <w:szCs w:val="20"/>
        </w:rPr>
        <w:t>1.</w:t>
      </w:r>
      <w:r w:rsidRPr="00B26DD4">
        <w:rPr>
          <w:rFonts w:cs="Arial"/>
          <w:szCs w:val="20"/>
        </w:rPr>
        <w:t xml:space="preserve">        </w:t>
      </w:r>
      <w:r w:rsidRPr="00431459">
        <w:rPr>
          <w:rFonts w:cs="Arial"/>
          <w:b/>
          <w:bCs/>
          <w:iCs/>
          <w:szCs w:val="20"/>
        </w:rPr>
        <w:t>Partneri</w:t>
      </w:r>
      <w:r>
        <w:rPr>
          <w:rFonts w:cs="Arial"/>
          <w:b/>
          <w:bCs/>
          <w:i/>
          <w:iCs/>
          <w:szCs w:val="20"/>
        </w:rPr>
        <w:t xml:space="preserve"> </w:t>
      </w:r>
      <w:r w:rsidRPr="00B26DD4">
        <w:rPr>
          <w:rFonts w:cs="Arial"/>
          <w:b/>
          <w:bCs/>
          <w:szCs w:val="20"/>
        </w:rPr>
        <w:t xml:space="preserve">tiitli kasutamine advokaadibüroos on lubatud eeldusel, et tiitli kandjaks on vandeadvokaadist advokatuuri liige või advokatuuri assotsieerunud liige, kes on </w:t>
      </w:r>
    </w:p>
    <w:p w14:paraId="5B6FCF4F" w14:textId="3993349D" w:rsidR="003C6830" w:rsidRPr="00B26DD4" w:rsidRDefault="003C6830" w:rsidP="003C6830">
      <w:pPr>
        <w:jc w:val="both"/>
      </w:pPr>
      <w:r w:rsidRPr="00CD539C">
        <w:rPr>
          <w:rFonts w:cs="Arial"/>
          <w:b/>
          <w:szCs w:val="20"/>
        </w:rPr>
        <w:t>(1)</w:t>
      </w:r>
      <w:r w:rsidRPr="00CD539C">
        <w:rPr>
          <w:rFonts w:cs="Arial"/>
          <w:b/>
          <w:szCs w:val="20"/>
        </w:rPr>
        <w:tab/>
      </w:r>
      <w:r w:rsidRPr="00CD539C">
        <w:rPr>
          <w:rFonts w:cs="Arial"/>
          <w:b/>
          <w:bCs/>
          <w:szCs w:val="20"/>
        </w:rPr>
        <w:t xml:space="preserve">advokaadibüroo pidajaks oleva advokaadiühingu osanik või aktsionär; </w:t>
      </w:r>
      <w:r w:rsidRPr="00CD539C">
        <w:rPr>
          <w:b/>
        </w:rPr>
        <w:br/>
      </w:r>
      <w:r w:rsidRPr="00CD539C">
        <w:rPr>
          <w:rFonts w:cs="Arial"/>
          <w:b/>
          <w:szCs w:val="20"/>
        </w:rPr>
        <w:t>(2)</w:t>
      </w:r>
      <w:r w:rsidRPr="00CD539C">
        <w:rPr>
          <w:rFonts w:cs="Arial"/>
          <w:b/>
          <w:szCs w:val="20"/>
        </w:rPr>
        <w:tab/>
      </w:r>
      <w:r w:rsidRPr="00CD539C">
        <w:rPr>
          <w:rFonts w:cs="Arial"/>
          <w:b/>
          <w:bCs/>
          <w:szCs w:val="20"/>
        </w:rPr>
        <w:t xml:space="preserve">advokaadibüroo pidaja füüsilisest isikust ettevõtjana või </w:t>
      </w:r>
      <w:r w:rsidRPr="00CD539C">
        <w:rPr>
          <w:b/>
        </w:rPr>
        <w:br/>
      </w:r>
      <w:r w:rsidRPr="00CD539C">
        <w:rPr>
          <w:rFonts w:cs="Arial"/>
          <w:b/>
          <w:szCs w:val="20"/>
        </w:rPr>
        <w:t>(3)</w:t>
      </w:r>
      <w:r>
        <w:rPr>
          <w:rFonts w:cs="Arial"/>
          <w:szCs w:val="20"/>
        </w:rPr>
        <w:tab/>
      </w:r>
      <w:r w:rsidRPr="00B26DD4">
        <w:rPr>
          <w:rFonts w:cs="Arial"/>
          <w:b/>
          <w:bCs/>
          <w:szCs w:val="20"/>
        </w:rPr>
        <w:t xml:space="preserve">isik, kes omab sarnast otsustusõigust advokaadibüroo üle lepingulisel alusel. </w:t>
      </w:r>
      <w:r w:rsidRPr="00B26DD4">
        <w:br/>
      </w:r>
      <w:r w:rsidRPr="00B26DD4">
        <w:lastRenderedPageBreak/>
        <w:br/>
      </w:r>
      <w:r w:rsidRPr="00CD539C">
        <w:rPr>
          <w:rFonts w:cs="Arial"/>
          <w:b/>
          <w:szCs w:val="20"/>
        </w:rPr>
        <w:t>2.</w:t>
      </w:r>
      <w:r w:rsidRPr="00B26DD4">
        <w:rPr>
          <w:rFonts w:cs="Arial"/>
          <w:szCs w:val="20"/>
        </w:rPr>
        <w:t xml:space="preserve">        </w:t>
      </w:r>
      <w:r w:rsidRPr="00B26DD4">
        <w:rPr>
          <w:rFonts w:cs="Arial"/>
          <w:b/>
          <w:bCs/>
          <w:szCs w:val="20"/>
        </w:rPr>
        <w:t xml:space="preserve">Advokaadibüroode pidajatel ja advokaadiühingute osanikel tagada, et </w:t>
      </w:r>
      <w:r w:rsidRPr="00431459">
        <w:rPr>
          <w:rFonts w:cs="Arial"/>
          <w:b/>
          <w:bCs/>
          <w:iCs/>
          <w:szCs w:val="20"/>
        </w:rPr>
        <w:t>partneri</w:t>
      </w:r>
      <w:r w:rsidRPr="00B26DD4">
        <w:rPr>
          <w:rFonts w:cs="Arial"/>
          <w:b/>
          <w:bCs/>
          <w:szCs w:val="20"/>
        </w:rPr>
        <w:t xml:space="preserve"> tiitli kasutamine advokaadibüroos oleks viidud </w:t>
      </w:r>
      <w:r>
        <w:rPr>
          <w:rFonts w:cs="Arial"/>
          <w:b/>
          <w:bCs/>
          <w:szCs w:val="20"/>
        </w:rPr>
        <w:t>käesoleva</w:t>
      </w:r>
      <w:r w:rsidRPr="00B26DD4">
        <w:rPr>
          <w:rFonts w:cs="Arial"/>
          <w:b/>
          <w:bCs/>
          <w:szCs w:val="20"/>
        </w:rPr>
        <w:t xml:space="preserve"> otsuse</w:t>
      </w:r>
      <w:r>
        <w:rPr>
          <w:rFonts w:cs="Arial"/>
          <w:b/>
          <w:bCs/>
          <w:szCs w:val="20"/>
        </w:rPr>
        <w:t>ga</w:t>
      </w:r>
      <w:r w:rsidRPr="00B26DD4">
        <w:rPr>
          <w:rFonts w:cs="Arial"/>
          <w:b/>
          <w:bCs/>
          <w:szCs w:val="20"/>
        </w:rPr>
        <w:t xml:space="preserve"> kooskõlla hiljemalt 1. septembriks 2017.</w:t>
      </w:r>
    </w:p>
    <w:p w14:paraId="6B70E6D5" w14:textId="77777777" w:rsidR="005835C7" w:rsidRDefault="005835C7" w:rsidP="003C6830">
      <w:pPr>
        <w:jc w:val="both"/>
      </w:pPr>
    </w:p>
    <w:sectPr w:rsidR="0058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377F89"/>
    <w:multiLevelType w:val="hybridMultilevel"/>
    <w:tmpl w:val="6172A9AE"/>
    <w:lvl w:ilvl="0" w:tplc="932A1BF8">
      <w:start w:val="1"/>
      <w:numFmt w:val="decimal"/>
      <w:lvlText w:val="%1."/>
      <w:lvlJc w:val="left"/>
      <w:pPr>
        <w:ind w:left="720" w:hanging="360"/>
      </w:pPr>
      <w:rPr>
        <w:rFonts w:hint="default"/>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551502998">
    <w:abstractNumId w:val="0"/>
  </w:num>
  <w:num w:numId="2" w16cid:durableId="631981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F5"/>
    <w:rsid w:val="003C6830"/>
    <w:rsid w:val="005835C7"/>
    <w:rsid w:val="0092757F"/>
    <w:rsid w:val="00BC02BE"/>
    <w:rsid w:val="00D21FF5"/>
    <w:rsid w:val="00F433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4990"/>
  <w15:chartTrackingRefBased/>
  <w15:docId w15:val="{ACF66EE8-94D1-4A27-80F0-8CC74C0F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21FF5"/>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apple-converted-space">
    <w:name w:val="apple-converted-space"/>
    <w:rsid w:val="00D21FF5"/>
  </w:style>
  <w:style w:type="paragraph" w:customStyle="1" w:styleId="Default">
    <w:name w:val="Default"/>
    <w:autoRedefine/>
    <w:rsid w:val="0092757F"/>
    <w:pPr>
      <w:suppressAutoHyphens/>
      <w:spacing w:after="0" w:line="240" w:lineRule="auto"/>
      <w:jc w:val="both"/>
    </w:pPr>
    <w:rPr>
      <w:rFonts w:ascii="Times New Roman" w:eastAsia="ヒラギノ角ゴ Pro W3" w:hAnsi="Times New Roman" w:cs="Times New Roman"/>
      <w:color w:val="000000"/>
      <w:sz w:val="24"/>
      <w:szCs w:val="20"/>
      <w:lang w:eastAsia="et-EE"/>
    </w:rPr>
  </w:style>
  <w:style w:type="paragraph" w:styleId="Loendilik">
    <w:name w:val="List Paragraph"/>
    <w:basedOn w:val="Normaallaad"/>
    <w:uiPriority w:val="34"/>
    <w:qFormat/>
    <w:rsid w:val="0092757F"/>
    <w:pPr>
      <w:ind w:left="720"/>
      <w:contextualSpacing/>
    </w:pPr>
    <w:rPr>
      <w:rFonts w:ascii="Cambria" w:eastAsia="Calibri" w:hAnsi="Cambria"/>
    </w:rPr>
  </w:style>
  <w:style w:type="character" w:customStyle="1" w:styleId="bold">
    <w:name w:val="bold"/>
    <w:rsid w:val="00927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2019-04-23T07:24:00Z</dcterms:created>
  <dcterms:modified xsi:type="dcterms:W3CDTF">2023-10-03T06:56:00Z</dcterms:modified>
</cp:coreProperties>
</file>