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0264" w14:textId="77777777" w:rsidR="00D45C20" w:rsidRPr="00BC1CDA" w:rsidRDefault="00D45C20" w:rsidP="00D45C20">
      <w:pPr>
        <w:rPr>
          <w:color w:val="000000" w:themeColor="text1"/>
        </w:rPr>
      </w:pPr>
      <w:r w:rsidRPr="00BC1CDA">
        <w:rPr>
          <w:b w:val="0"/>
          <w:bCs/>
          <w:color w:val="000000" w:themeColor="text1"/>
        </w:rPr>
        <w:t>EESTI ADVOKATUURI JUHATUS</w:t>
      </w:r>
    </w:p>
    <w:p w14:paraId="45B86409" w14:textId="77777777" w:rsidR="00D45C20" w:rsidRPr="00BC1CDA" w:rsidRDefault="00D45C20" w:rsidP="00D45C20">
      <w:pPr>
        <w:jc w:val="both"/>
        <w:rPr>
          <w:b w:val="0"/>
          <w:bCs/>
          <w:color w:val="000000" w:themeColor="text1"/>
        </w:rPr>
      </w:pPr>
      <w:r w:rsidRPr="00BC1CDA">
        <w:rPr>
          <w:b w:val="0"/>
          <w:bCs/>
          <w:color w:val="000000" w:themeColor="text1"/>
        </w:rPr>
        <w:t>ISTUNGI PROTOKOLL</w:t>
      </w:r>
    </w:p>
    <w:p w14:paraId="4DE27F77" w14:textId="77777777" w:rsidR="00D45C20" w:rsidRPr="00BC1CDA" w:rsidRDefault="00D45C20" w:rsidP="00D45C20">
      <w:pPr>
        <w:jc w:val="both"/>
        <w:rPr>
          <w:b w:val="0"/>
          <w:bCs/>
          <w:color w:val="000000" w:themeColor="text1"/>
        </w:rPr>
      </w:pPr>
      <w:r w:rsidRPr="00BC1CDA">
        <w:rPr>
          <w:b w:val="0"/>
          <w:bCs/>
          <w:color w:val="000000" w:themeColor="text1"/>
        </w:rPr>
        <w:t xml:space="preserve">11. </w:t>
      </w:r>
      <w:r>
        <w:rPr>
          <w:b w:val="0"/>
          <w:bCs/>
          <w:color w:val="000000" w:themeColor="text1"/>
        </w:rPr>
        <w:t>detsember</w:t>
      </w:r>
      <w:r w:rsidRPr="00BC1CDA">
        <w:rPr>
          <w:b w:val="0"/>
          <w:bCs/>
          <w:color w:val="000000" w:themeColor="text1"/>
        </w:rPr>
        <w:t xml:space="preserve"> 2018. a nr 25</w:t>
      </w:r>
    </w:p>
    <w:p w14:paraId="0540DC0A" w14:textId="77777777" w:rsidR="00D45C20" w:rsidRPr="00BC1CDA" w:rsidRDefault="00D45C20" w:rsidP="00D45C20">
      <w:pPr>
        <w:jc w:val="both"/>
        <w:rPr>
          <w:b w:val="0"/>
          <w:bCs/>
          <w:color w:val="000000" w:themeColor="text1"/>
        </w:rPr>
      </w:pPr>
      <w:r w:rsidRPr="00BC1CDA">
        <w:rPr>
          <w:b w:val="0"/>
          <w:bCs/>
          <w:color w:val="000000" w:themeColor="text1"/>
        </w:rPr>
        <w:t>Tallinn</w:t>
      </w:r>
    </w:p>
    <w:p w14:paraId="24461D03" w14:textId="77777777" w:rsidR="00F7160E" w:rsidRDefault="00F7160E"/>
    <w:p w14:paraId="7A6FEF40" w14:textId="77777777" w:rsidR="00CE653B" w:rsidRDefault="00CE653B" w:rsidP="00642437">
      <w:pPr>
        <w:jc w:val="both"/>
        <w:rPr>
          <w:lang w:eastAsia="en-US"/>
        </w:rPr>
      </w:pPr>
    </w:p>
    <w:p w14:paraId="64BC22BF" w14:textId="77777777" w:rsidR="00CE653B" w:rsidRDefault="00CE653B" w:rsidP="00642437">
      <w:pPr>
        <w:jc w:val="both"/>
        <w:rPr>
          <w:lang w:eastAsia="en-US"/>
        </w:rPr>
      </w:pPr>
    </w:p>
    <w:p w14:paraId="30D3CA77" w14:textId="208DDDA5" w:rsidR="00642437" w:rsidRDefault="00642437" w:rsidP="00642437">
      <w:pPr>
        <w:jc w:val="both"/>
        <w:rPr>
          <w:lang w:eastAsia="en-US"/>
        </w:rPr>
      </w:pPr>
      <w:r w:rsidRPr="00BC1CDA">
        <w:rPr>
          <w:lang w:eastAsia="en-US"/>
        </w:rPr>
        <w:t>Riigikohtu 04.12.2018 määrus – kassatsioon</w:t>
      </w:r>
      <w:r w:rsidR="00CE653B">
        <w:rPr>
          <w:lang w:eastAsia="en-US"/>
        </w:rPr>
        <w:t>i</w:t>
      </w:r>
      <w:r w:rsidRPr="00BC1CDA">
        <w:rPr>
          <w:lang w:eastAsia="en-US"/>
        </w:rPr>
        <w:t>menetluses riigi õigusabi korras esindamise üleminek vandeadvokaadi abilt vandeadvokaadile</w:t>
      </w:r>
    </w:p>
    <w:p w14:paraId="480B10EB" w14:textId="77777777" w:rsidR="00642437" w:rsidRDefault="00642437" w:rsidP="00642437">
      <w:pPr>
        <w:jc w:val="both"/>
        <w:rPr>
          <w:lang w:eastAsia="en-US"/>
        </w:rPr>
      </w:pPr>
    </w:p>
    <w:p w14:paraId="6B94F178" w14:textId="4F6C702C" w:rsidR="00642437" w:rsidRDefault="00642437" w:rsidP="00642437">
      <w:pPr>
        <w:jc w:val="both"/>
        <w:rPr>
          <w:b w:val="0"/>
          <w:lang w:eastAsia="en-US"/>
        </w:rPr>
      </w:pPr>
      <w:r w:rsidRPr="009E67ED">
        <w:rPr>
          <w:b w:val="0"/>
          <w:lang w:eastAsia="en-US"/>
        </w:rPr>
        <w:t>Riigikohus tegi 04.12.2018 asjas nr 2-15-1185</w:t>
      </w:r>
      <w:r w:rsidR="00C44DD5">
        <w:rPr>
          <w:b w:val="0"/>
          <w:lang w:eastAsia="en-US"/>
        </w:rPr>
        <w:t xml:space="preserve"> </w:t>
      </w:r>
      <w:r w:rsidR="00C44DD5" w:rsidRPr="009E67ED">
        <w:rPr>
          <w:b w:val="0"/>
          <w:lang w:eastAsia="en-US"/>
        </w:rPr>
        <w:t>määruse</w:t>
      </w:r>
      <w:r>
        <w:rPr>
          <w:b w:val="0"/>
          <w:lang w:eastAsia="en-US"/>
        </w:rPr>
        <w:t xml:space="preserve">, milles muuhulgas selgitas </w:t>
      </w:r>
      <w:r w:rsidRPr="0079226F">
        <w:rPr>
          <w:b w:val="0"/>
          <w:lang w:eastAsia="en-US"/>
        </w:rPr>
        <w:t>kassatsioonmenetluses riigi õigusabi korras esindamise üleminek</w:t>
      </w:r>
      <w:r>
        <w:rPr>
          <w:b w:val="0"/>
          <w:lang w:eastAsia="en-US"/>
        </w:rPr>
        <w:t>uga</w:t>
      </w:r>
      <w:r w:rsidRPr="0079226F">
        <w:rPr>
          <w:b w:val="0"/>
          <w:lang w:eastAsia="en-US"/>
        </w:rPr>
        <w:t xml:space="preserve"> vandeadvokaadi abilt vandeadvokaadile</w:t>
      </w:r>
      <w:r>
        <w:rPr>
          <w:b w:val="0"/>
          <w:lang w:eastAsia="en-US"/>
        </w:rPr>
        <w:t xml:space="preserve"> seotud erisusi.</w:t>
      </w:r>
    </w:p>
    <w:p w14:paraId="4C006A3A" w14:textId="77777777" w:rsidR="00642437" w:rsidRDefault="00642437" w:rsidP="00642437">
      <w:pPr>
        <w:jc w:val="both"/>
        <w:rPr>
          <w:b w:val="0"/>
          <w:lang w:eastAsia="en-US"/>
        </w:rPr>
      </w:pPr>
    </w:p>
    <w:p w14:paraId="46F8009F" w14:textId="77777777" w:rsidR="00642437" w:rsidRDefault="00642437" w:rsidP="00642437">
      <w:pPr>
        <w:jc w:val="both"/>
        <w:rPr>
          <w:b w:val="0"/>
          <w:lang w:eastAsia="en-US"/>
        </w:rPr>
      </w:pPr>
      <w:r w:rsidRPr="0079226F">
        <w:rPr>
          <w:b w:val="0"/>
          <w:lang w:eastAsia="en-US"/>
        </w:rPr>
        <w:t xml:space="preserve">Riigikohus </w:t>
      </w:r>
      <w:r>
        <w:rPr>
          <w:b w:val="0"/>
          <w:lang w:eastAsia="en-US"/>
        </w:rPr>
        <w:t>märkis</w:t>
      </w:r>
      <w:r w:rsidRPr="0079226F">
        <w:rPr>
          <w:b w:val="0"/>
          <w:lang w:eastAsia="en-US"/>
        </w:rPr>
        <w:t>, et tsiviilkohtumenetluse seadustikust ja riigi õigusabi seadusest</w:t>
      </w:r>
      <w:r>
        <w:rPr>
          <w:b w:val="0"/>
          <w:lang w:eastAsia="en-US"/>
        </w:rPr>
        <w:t xml:space="preserve"> (RÕS)</w:t>
      </w:r>
      <w:r w:rsidRPr="0079226F">
        <w:rPr>
          <w:b w:val="0"/>
          <w:lang w:eastAsia="en-US"/>
        </w:rPr>
        <w:t xml:space="preserve"> ei tulene, et vandeadvokaadi abi saaks endale asendaja määrata </w:t>
      </w:r>
      <w:r>
        <w:rPr>
          <w:b w:val="0"/>
          <w:lang w:eastAsia="en-US"/>
        </w:rPr>
        <w:t>või</w:t>
      </w:r>
      <w:r w:rsidRPr="0079226F">
        <w:rPr>
          <w:b w:val="0"/>
          <w:lang w:eastAsia="en-US"/>
        </w:rPr>
        <w:t xml:space="preserve"> vandeadvokaat saaks </w:t>
      </w:r>
      <w:r>
        <w:rPr>
          <w:b w:val="0"/>
          <w:lang w:eastAsia="en-US"/>
        </w:rPr>
        <w:t xml:space="preserve">võtta üle </w:t>
      </w:r>
      <w:r w:rsidRPr="0079226F">
        <w:rPr>
          <w:b w:val="0"/>
          <w:lang w:eastAsia="en-US"/>
        </w:rPr>
        <w:t>riigi õi</w:t>
      </w:r>
      <w:r>
        <w:rPr>
          <w:b w:val="0"/>
          <w:lang w:eastAsia="en-US"/>
        </w:rPr>
        <w:t>gusabi osutamise ilma a</w:t>
      </w:r>
      <w:r w:rsidRPr="0079226F">
        <w:rPr>
          <w:b w:val="0"/>
          <w:lang w:eastAsia="en-US"/>
        </w:rPr>
        <w:t>dvokatuur</w:t>
      </w:r>
      <w:r>
        <w:rPr>
          <w:b w:val="0"/>
          <w:lang w:eastAsia="en-US"/>
        </w:rPr>
        <w:t>i või kohtu poolt</w:t>
      </w:r>
      <w:r w:rsidRPr="0079226F">
        <w:rPr>
          <w:b w:val="0"/>
          <w:lang w:eastAsia="en-US"/>
        </w:rPr>
        <w:t xml:space="preserve"> selleks nimeta</w:t>
      </w:r>
      <w:r>
        <w:rPr>
          <w:b w:val="0"/>
          <w:lang w:eastAsia="en-US"/>
        </w:rPr>
        <w:t>mata</w:t>
      </w:r>
      <w:r w:rsidRPr="0079226F">
        <w:rPr>
          <w:b w:val="0"/>
          <w:lang w:eastAsia="en-US"/>
        </w:rPr>
        <w:t>. RÕS § 20 lg 1 järgi võib riigi õigusabi osutava advokaadi ja riigi õigusabi saaja kokkuleppel asuda isikule samas asjas õigusteenust osutama teine advokaat, kes on nõus temale riigi õigusabi osutamise kohustuse</w:t>
      </w:r>
      <w:r w:rsidRPr="0079226F">
        <w:t xml:space="preserve"> </w:t>
      </w:r>
      <w:r w:rsidRPr="0079226F">
        <w:rPr>
          <w:b w:val="0"/>
          <w:lang w:eastAsia="en-US"/>
        </w:rPr>
        <w:t>üleandmisega. Uus riigi õigusabi osutaja nimetatakse kohtu määruse alusel RÕS §-s 18 sätestatud korras.</w:t>
      </w:r>
      <w:r>
        <w:rPr>
          <w:b w:val="0"/>
          <w:lang w:eastAsia="en-US"/>
        </w:rPr>
        <w:t xml:space="preserve"> Riigikohtu hinnangul on oluline esindatava nõusoleku olemasolu.</w:t>
      </w:r>
    </w:p>
    <w:p w14:paraId="333CAD87" w14:textId="77777777" w:rsidR="00642437" w:rsidRDefault="00642437" w:rsidP="00642437">
      <w:pPr>
        <w:jc w:val="both"/>
        <w:rPr>
          <w:b w:val="0"/>
          <w:lang w:eastAsia="en-US"/>
        </w:rPr>
      </w:pPr>
    </w:p>
    <w:p w14:paraId="764322E5" w14:textId="613537EA" w:rsidR="00642437" w:rsidRPr="009E67ED" w:rsidRDefault="00642437" w:rsidP="00642437">
      <w:pPr>
        <w:jc w:val="both"/>
        <w:rPr>
          <w:b w:val="0"/>
          <w:lang w:eastAsia="en-US"/>
        </w:rPr>
      </w:pPr>
      <w:r>
        <w:rPr>
          <w:b w:val="0"/>
          <w:lang w:eastAsia="en-US"/>
        </w:rPr>
        <w:t xml:space="preserve">Juhatus on 14.11.2017 istungil asunud seisukohale, et </w:t>
      </w:r>
      <w:r w:rsidRPr="00192503">
        <w:rPr>
          <w:b w:val="0"/>
          <w:lang w:eastAsia="en-US"/>
        </w:rPr>
        <w:t xml:space="preserve">riigi õigusabi </w:t>
      </w:r>
      <w:r>
        <w:rPr>
          <w:b w:val="0"/>
          <w:lang w:eastAsia="en-US"/>
        </w:rPr>
        <w:t>korras kliendile määratud v</w:t>
      </w:r>
      <w:r w:rsidRPr="00192503">
        <w:rPr>
          <w:b w:val="0"/>
          <w:lang w:eastAsia="en-US"/>
        </w:rPr>
        <w:t>andeadvokaadi abi kohustus</w:t>
      </w:r>
      <w:r>
        <w:rPr>
          <w:b w:val="0"/>
          <w:lang w:eastAsia="en-US"/>
        </w:rPr>
        <w:t>ed</w:t>
      </w:r>
      <w:r w:rsidRPr="00192503">
        <w:rPr>
          <w:b w:val="0"/>
          <w:lang w:eastAsia="en-US"/>
        </w:rPr>
        <w:t xml:space="preserve"> ringkonnakohtu otsuse edasi kaebamisel</w:t>
      </w:r>
      <w:r>
        <w:rPr>
          <w:b w:val="0"/>
          <w:lang w:eastAsia="en-US"/>
        </w:rPr>
        <w:t xml:space="preserve"> </w:t>
      </w:r>
      <w:r w:rsidRPr="00192503">
        <w:rPr>
          <w:b w:val="0"/>
          <w:lang w:eastAsia="en-US"/>
        </w:rPr>
        <w:t>Riigikoh</w:t>
      </w:r>
      <w:r>
        <w:rPr>
          <w:b w:val="0"/>
          <w:lang w:eastAsia="en-US"/>
        </w:rPr>
        <w:t>tusse tsiviil- ja haldusasjades peaks esmajärjekorras üle võtma vandeadvokaadi abi vandeadvokaadist patroon. Juhatus jääb oma seisukoha juurde ja tulenevalt Riigikohtu 04.12.2018 määrusest</w:t>
      </w:r>
      <w:r w:rsidRPr="00454C1C">
        <w:rPr>
          <w:b w:val="0"/>
          <w:lang w:eastAsia="en-US"/>
        </w:rPr>
        <w:t xml:space="preserve"> </w:t>
      </w:r>
      <w:r>
        <w:rPr>
          <w:b w:val="0"/>
          <w:lang w:eastAsia="en-US"/>
        </w:rPr>
        <w:t xml:space="preserve">juhib lisaks advokaatide tähelepanu, et esindaja vahetamiseks tuleb esitada kohtule taotlus RÕS § 20 lg 1 alusel koos esindatava ja uue esindaja nõusolekuga. </w:t>
      </w:r>
    </w:p>
    <w:p w14:paraId="089E9F69" w14:textId="77777777" w:rsidR="00642437" w:rsidRDefault="00642437" w:rsidP="00642437">
      <w:pPr>
        <w:jc w:val="both"/>
        <w:rPr>
          <w:lang w:eastAsia="en-US"/>
        </w:rPr>
      </w:pPr>
    </w:p>
    <w:p w14:paraId="48562821" w14:textId="77777777" w:rsidR="00642437" w:rsidRDefault="00642437" w:rsidP="00642437">
      <w:pPr>
        <w:jc w:val="both"/>
        <w:rPr>
          <w:lang w:eastAsia="en-US"/>
        </w:rPr>
      </w:pPr>
    </w:p>
    <w:p w14:paraId="2C4E618A" w14:textId="77777777" w:rsidR="00642437" w:rsidRPr="00BC1CDA" w:rsidRDefault="00642437" w:rsidP="00642437">
      <w:pPr>
        <w:jc w:val="both"/>
        <w:rPr>
          <w:b w:val="0"/>
          <w:lang w:eastAsia="en-US"/>
        </w:rPr>
      </w:pPr>
      <w:r w:rsidRPr="00BC1CDA">
        <w:rPr>
          <w:b w:val="0"/>
          <w:lang w:eastAsia="en-US"/>
        </w:rPr>
        <w:t xml:space="preserve">Juhatus </w:t>
      </w:r>
    </w:p>
    <w:p w14:paraId="5600C605" w14:textId="77777777" w:rsidR="00642437" w:rsidRPr="00BC1CDA" w:rsidRDefault="00642437" w:rsidP="00642437">
      <w:pPr>
        <w:jc w:val="both"/>
        <w:rPr>
          <w:b w:val="0"/>
          <w:lang w:eastAsia="en-US"/>
        </w:rPr>
      </w:pPr>
    </w:p>
    <w:p w14:paraId="76B99451" w14:textId="77777777" w:rsidR="00642437" w:rsidRPr="00BC1CDA" w:rsidRDefault="00642437" w:rsidP="00642437">
      <w:pPr>
        <w:jc w:val="both"/>
        <w:rPr>
          <w:lang w:eastAsia="en-US"/>
        </w:rPr>
      </w:pPr>
      <w:r w:rsidRPr="00BC1CDA">
        <w:rPr>
          <w:lang w:eastAsia="en-US"/>
        </w:rPr>
        <w:t>O T S U S T A S:</w:t>
      </w:r>
    </w:p>
    <w:p w14:paraId="487BD3D9" w14:textId="77777777" w:rsidR="00642437" w:rsidRPr="00BC1CDA" w:rsidRDefault="00642437" w:rsidP="00642437">
      <w:pPr>
        <w:jc w:val="both"/>
        <w:rPr>
          <w:lang w:eastAsia="en-US"/>
        </w:rPr>
      </w:pPr>
    </w:p>
    <w:p w14:paraId="517AFF60" w14:textId="77777777" w:rsidR="00642437" w:rsidRPr="00BC1CDA" w:rsidRDefault="00642437" w:rsidP="00642437">
      <w:pPr>
        <w:jc w:val="both"/>
        <w:rPr>
          <w:lang w:eastAsia="en-US"/>
        </w:rPr>
      </w:pPr>
      <w:r w:rsidRPr="00912630">
        <w:rPr>
          <w:lang w:eastAsia="en-US"/>
        </w:rPr>
        <w:t>Teha juhatuse seisukoht teatavaks riigi õigusabi osutavatele advokaatidele.</w:t>
      </w:r>
    </w:p>
    <w:p w14:paraId="76A3F404" w14:textId="77777777" w:rsidR="00871CC2" w:rsidRDefault="00871CC2" w:rsidP="00D9333D">
      <w:pPr>
        <w:jc w:val="both"/>
        <w:outlineLvl w:val="0"/>
      </w:pPr>
    </w:p>
    <w:sectPr w:rsidR="0087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E660B"/>
    <w:multiLevelType w:val="multilevel"/>
    <w:tmpl w:val="8D6E3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D67EC6"/>
    <w:multiLevelType w:val="multilevel"/>
    <w:tmpl w:val="891A41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42182418">
    <w:abstractNumId w:val="0"/>
  </w:num>
  <w:num w:numId="2" w16cid:durableId="1502893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812"/>
    <w:rsid w:val="00186A97"/>
    <w:rsid w:val="001B3A3E"/>
    <w:rsid w:val="0025331C"/>
    <w:rsid w:val="00642437"/>
    <w:rsid w:val="006E1B2C"/>
    <w:rsid w:val="007658FC"/>
    <w:rsid w:val="00796C44"/>
    <w:rsid w:val="00871CC2"/>
    <w:rsid w:val="009300D6"/>
    <w:rsid w:val="00A12812"/>
    <w:rsid w:val="00B40BFF"/>
    <w:rsid w:val="00BA37CD"/>
    <w:rsid w:val="00C44DD5"/>
    <w:rsid w:val="00CE653B"/>
    <w:rsid w:val="00D45C20"/>
    <w:rsid w:val="00D9333D"/>
    <w:rsid w:val="00F7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6701"/>
  <w15:chartTrackingRefBased/>
  <w15:docId w15:val="{085C4653-C59F-4170-BA2E-F4BFD0F3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281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D9333D"/>
    <w:pPr>
      <w:keepNext/>
      <w:spacing w:before="240" w:after="60"/>
      <w:outlineLvl w:val="0"/>
    </w:pPr>
    <w:rPr>
      <w:bCs/>
      <w:kern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E1B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ealkiri1Mrk">
    <w:name w:val="Pealkiri 1 Märk"/>
    <w:basedOn w:val="Liguvaikefont"/>
    <w:link w:val="Pealkiri1"/>
    <w:rsid w:val="00D9333D"/>
    <w:rPr>
      <w:rFonts w:ascii="Times New Roman" w:eastAsia="Times New Roman" w:hAnsi="Times New Roman" w:cs="Times New Roman"/>
      <w:b/>
      <w:bCs/>
      <w:kern w:val="32"/>
      <w:sz w:val="24"/>
      <w:szCs w:val="32"/>
      <w:lang w:eastAsia="et-EE"/>
    </w:rPr>
  </w:style>
  <w:style w:type="paragraph" w:customStyle="1" w:styleId="Default">
    <w:name w:val="Default"/>
    <w:autoRedefine/>
    <w:rsid w:val="00D45C20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b/>
      <w:color w:val="000000" w:themeColor="text1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4</cp:revision>
  <dcterms:created xsi:type="dcterms:W3CDTF">2019-04-24T13:41:00Z</dcterms:created>
  <dcterms:modified xsi:type="dcterms:W3CDTF">2023-10-03T06:24:00Z</dcterms:modified>
</cp:coreProperties>
</file>