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55B1" w14:textId="77777777" w:rsidR="00BB1B60" w:rsidRPr="00011C6D" w:rsidRDefault="00BB1B60" w:rsidP="00BB1B60">
      <w:pPr>
        <w:rPr>
          <w:color w:val="000000" w:themeColor="text1"/>
        </w:rPr>
      </w:pPr>
      <w:r w:rsidRPr="00011C6D">
        <w:rPr>
          <w:bCs/>
          <w:color w:val="000000" w:themeColor="text1"/>
        </w:rPr>
        <w:t>EESTI ADVOKATUURI JUHATUS</w:t>
      </w:r>
    </w:p>
    <w:p w14:paraId="0E5825B8" w14:textId="77777777" w:rsidR="00BB1B60" w:rsidRPr="00011C6D" w:rsidRDefault="00BB1B60" w:rsidP="00BB1B60">
      <w:pPr>
        <w:jc w:val="both"/>
        <w:rPr>
          <w:b/>
          <w:bCs/>
          <w:color w:val="000000" w:themeColor="text1"/>
        </w:rPr>
      </w:pPr>
      <w:r w:rsidRPr="00011C6D">
        <w:rPr>
          <w:bCs/>
          <w:color w:val="000000" w:themeColor="text1"/>
        </w:rPr>
        <w:t>ISTUNGI PROTOKOLL</w:t>
      </w:r>
    </w:p>
    <w:p w14:paraId="66ABC315" w14:textId="77777777" w:rsidR="00BB1B60" w:rsidRPr="00011C6D" w:rsidRDefault="00BB1B60" w:rsidP="00BB1B60">
      <w:pPr>
        <w:jc w:val="both"/>
        <w:rPr>
          <w:b/>
          <w:bCs/>
          <w:color w:val="000000" w:themeColor="text1"/>
        </w:rPr>
      </w:pPr>
      <w:r>
        <w:rPr>
          <w:bCs/>
          <w:color w:val="000000" w:themeColor="text1"/>
        </w:rPr>
        <w:t>31</w:t>
      </w:r>
      <w:r w:rsidRPr="00011C6D">
        <w:rPr>
          <w:bCs/>
          <w:color w:val="000000" w:themeColor="text1"/>
        </w:rPr>
        <w:t>. oktoober 2017. a nr 2</w:t>
      </w:r>
      <w:r>
        <w:rPr>
          <w:bCs/>
          <w:color w:val="000000" w:themeColor="text1"/>
        </w:rPr>
        <w:t>3</w:t>
      </w:r>
    </w:p>
    <w:p w14:paraId="6667E228" w14:textId="77777777" w:rsidR="00BB1B60" w:rsidRPr="00011C6D" w:rsidRDefault="00BB1B60" w:rsidP="00BB1B60">
      <w:pPr>
        <w:jc w:val="both"/>
        <w:rPr>
          <w:b/>
          <w:bCs/>
          <w:color w:val="000000" w:themeColor="text1"/>
        </w:rPr>
      </w:pPr>
      <w:r w:rsidRPr="00011C6D">
        <w:rPr>
          <w:bCs/>
          <w:color w:val="000000" w:themeColor="text1"/>
        </w:rPr>
        <w:t>Tallinn</w:t>
      </w:r>
    </w:p>
    <w:p w14:paraId="3A5BF717" w14:textId="77777777" w:rsidR="00D21FF5" w:rsidRDefault="00D21FF5" w:rsidP="00D21FF5">
      <w:pPr>
        <w:jc w:val="both"/>
        <w:rPr>
          <w:b/>
          <w:bCs/>
          <w:color w:val="000000"/>
        </w:rPr>
      </w:pPr>
    </w:p>
    <w:p w14:paraId="339FE619" w14:textId="77777777" w:rsidR="001A10B7" w:rsidRDefault="001A10B7" w:rsidP="008912DE">
      <w:pPr>
        <w:pStyle w:val="Pealkiri1"/>
        <w:spacing w:before="0" w:after="0"/>
        <w:jc w:val="both"/>
        <w:rPr>
          <w:color w:val="000000"/>
        </w:rPr>
      </w:pPr>
    </w:p>
    <w:p w14:paraId="12E242C9" w14:textId="77777777" w:rsidR="001A10B7" w:rsidRDefault="001A10B7" w:rsidP="008912DE">
      <w:pPr>
        <w:pStyle w:val="Pealkiri1"/>
        <w:spacing w:before="0" w:after="0"/>
        <w:jc w:val="both"/>
        <w:rPr>
          <w:color w:val="000000"/>
        </w:rPr>
      </w:pPr>
    </w:p>
    <w:p w14:paraId="75231008" w14:textId="184B1145" w:rsidR="008912DE" w:rsidRPr="00CA307B" w:rsidRDefault="008912DE" w:rsidP="008912DE">
      <w:pPr>
        <w:pStyle w:val="Pealkiri1"/>
        <w:spacing w:before="0" w:after="0"/>
        <w:jc w:val="both"/>
        <w:rPr>
          <w:color w:val="000000"/>
        </w:rPr>
      </w:pPr>
      <w:r w:rsidRPr="00CA307B">
        <w:rPr>
          <w:color w:val="000000"/>
        </w:rPr>
        <w:t>Riigi õigusabi sõidukulude põhjendatus ja tõendamine</w:t>
      </w:r>
    </w:p>
    <w:p w14:paraId="5D2B0B93" w14:textId="77777777" w:rsidR="008912DE" w:rsidRDefault="008912DE" w:rsidP="008912DE">
      <w:pPr>
        <w:keepNext/>
        <w:jc w:val="both"/>
        <w:rPr>
          <w:rFonts w:eastAsia="Calibri"/>
          <w:b/>
          <w:lang w:eastAsia="en-US"/>
        </w:rPr>
      </w:pPr>
    </w:p>
    <w:p w14:paraId="5767EC3B" w14:textId="77777777" w:rsidR="008912DE" w:rsidRPr="00FB0B6C" w:rsidRDefault="008912DE" w:rsidP="008912DE">
      <w:pPr>
        <w:keepNext/>
        <w:jc w:val="both"/>
        <w:rPr>
          <w:rFonts w:eastAsia="Calibri"/>
          <w:b/>
          <w:lang w:eastAsia="en-US"/>
        </w:rPr>
      </w:pPr>
      <w:r>
        <w:rPr>
          <w:rFonts w:eastAsia="Calibri"/>
          <w:lang w:eastAsia="en-US"/>
        </w:rPr>
        <w:t xml:space="preserve">Advokatuuri poole on pöördunud Viru Maakohus küsimusega, kuidas arvestada riigi õigusabi osutamisel sõidukulusid olukorras, kus advokaadibüroo asub teises linnas, kuid advokaat elab tegelikult kohtuga samas linnas ja saabub kohtusse sealt.  </w:t>
      </w:r>
    </w:p>
    <w:p w14:paraId="48DE6781" w14:textId="77777777" w:rsidR="008912DE" w:rsidRPr="007A7245" w:rsidRDefault="008912DE" w:rsidP="008912DE">
      <w:pPr>
        <w:keepNext/>
        <w:jc w:val="both"/>
        <w:rPr>
          <w:rFonts w:eastAsia="Calibri"/>
          <w:b/>
          <w:lang w:eastAsia="en-US"/>
        </w:rPr>
      </w:pPr>
    </w:p>
    <w:p w14:paraId="17359210" w14:textId="77777777" w:rsidR="008912DE" w:rsidRPr="007A7245" w:rsidRDefault="008912DE" w:rsidP="008912DE">
      <w:pPr>
        <w:keepNext/>
        <w:jc w:val="both"/>
        <w:rPr>
          <w:rFonts w:eastAsia="Calibri"/>
          <w:b/>
          <w:lang w:eastAsia="en-US"/>
        </w:rPr>
      </w:pPr>
      <w:r>
        <w:rPr>
          <w:rFonts w:eastAsia="Calibri"/>
          <w:lang w:eastAsia="en-US"/>
        </w:rPr>
        <w:t xml:space="preserve">Advokatuuri juhatus leiab, et sõidukulu tuleb hüvitada üksnes juhul, kui kulu on reaalselt tekkinud. Samuti peab tekkinud kulu olema vajalik ja põhjendatud. Sõidukulude osas tuleb advokaadil esitada tasutaotluses tõesed andmed ja menetlejal tuleb taotlus rahuldada või seda vähendada, kui taotletud on kulude hüvitamist põhjendamatult. Kohtul (ja ka teistel menetlejatel) on õigus küsida täiendavaid selgitusi ja tõendeid. Tõendite vormi ei ole kindlaks määratud. </w:t>
      </w:r>
    </w:p>
    <w:p w14:paraId="7D312D40" w14:textId="77777777" w:rsidR="008912DE" w:rsidRPr="007A7245" w:rsidRDefault="008912DE" w:rsidP="008912DE">
      <w:pPr>
        <w:keepNext/>
        <w:jc w:val="both"/>
        <w:rPr>
          <w:rFonts w:eastAsia="Calibri"/>
          <w:b/>
          <w:lang w:eastAsia="en-US"/>
        </w:rPr>
      </w:pPr>
    </w:p>
    <w:p w14:paraId="62A1EE5A" w14:textId="77777777" w:rsidR="008912DE" w:rsidRDefault="008912DE" w:rsidP="008912DE">
      <w:pPr>
        <w:jc w:val="both"/>
        <w:rPr>
          <w:b/>
          <w:color w:val="000000"/>
        </w:rPr>
      </w:pPr>
    </w:p>
    <w:p w14:paraId="7941E781" w14:textId="77777777" w:rsidR="008912DE" w:rsidRPr="00CA307B" w:rsidRDefault="008912DE" w:rsidP="008912DE">
      <w:pPr>
        <w:jc w:val="both"/>
        <w:rPr>
          <w:b/>
          <w:color w:val="000000"/>
        </w:rPr>
      </w:pPr>
      <w:r w:rsidRPr="00CA307B">
        <w:rPr>
          <w:color w:val="000000"/>
        </w:rPr>
        <w:t>Juhatus</w:t>
      </w:r>
    </w:p>
    <w:p w14:paraId="705B46E2" w14:textId="77777777" w:rsidR="008912DE" w:rsidRPr="00CA307B" w:rsidRDefault="008912DE" w:rsidP="008912DE">
      <w:pPr>
        <w:jc w:val="both"/>
        <w:rPr>
          <w:b/>
          <w:color w:val="000000"/>
        </w:rPr>
      </w:pPr>
    </w:p>
    <w:p w14:paraId="78BB323A" w14:textId="77777777" w:rsidR="008912DE" w:rsidRPr="008912DE" w:rsidRDefault="008912DE" w:rsidP="008912DE">
      <w:pPr>
        <w:jc w:val="both"/>
        <w:rPr>
          <w:b/>
          <w:bCs/>
          <w:color w:val="000000"/>
        </w:rPr>
      </w:pPr>
      <w:r w:rsidRPr="008912DE">
        <w:rPr>
          <w:b/>
          <w:bCs/>
          <w:color w:val="000000"/>
        </w:rPr>
        <w:t>O T S U S T A S:</w:t>
      </w:r>
    </w:p>
    <w:p w14:paraId="4082CB17" w14:textId="77777777" w:rsidR="008912DE" w:rsidRPr="008912DE" w:rsidRDefault="008912DE" w:rsidP="008912DE">
      <w:pPr>
        <w:jc w:val="both"/>
        <w:rPr>
          <w:b/>
          <w:bCs/>
          <w:color w:val="000000"/>
        </w:rPr>
      </w:pPr>
    </w:p>
    <w:p w14:paraId="74B5FA1C" w14:textId="77777777" w:rsidR="008912DE" w:rsidRPr="008912DE" w:rsidRDefault="008912DE" w:rsidP="008912DE">
      <w:pPr>
        <w:jc w:val="both"/>
        <w:rPr>
          <w:b/>
          <w:bCs/>
          <w:color w:val="000000"/>
        </w:rPr>
      </w:pPr>
      <w:r w:rsidRPr="008912DE">
        <w:rPr>
          <w:rFonts w:eastAsia="Calibri"/>
          <w:b/>
          <w:lang w:eastAsia="en-US"/>
        </w:rPr>
        <w:t xml:space="preserve">Teha juhatuse seisukoht teatavaks kohtutele ning advokatuuri liikmetele. </w:t>
      </w:r>
    </w:p>
    <w:p w14:paraId="0448EC54" w14:textId="77777777" w:rsidR="005835C7" w:rsidRPr="00173701" w:rsidRDefault="005835C7" w:rsidP="008912DE">
      <w:pPr>
        <w:ind w:left="360"/>
        <w:jc w:val="both"/>
        <w:rPr>
          <w:b/>
        </w:rPr>
      </w:pPr>
    </w:p>
    <w:sectPr w:rsidR="005835C7" w:rsidRPr="00173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38"/>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3C65C4"/>
    <w:multiLevelType w:val="hybridMultilevel"/>
    <w:tmpl w:val="E5082646"/>
    <w:lvl w:ilvl="0" w:tplc="FECA4ED6">
      <w:start w:val="1"/>
      <w:numFmt w:val="lowerLetter"/>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3" w15:restartNumberingAfterBreak="0">
    <w:nsid w:val="490D472D"/>
    <w:multiLevelType w:val="multilevel"/>
    <w:tmpl w:val="9A4E4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377F89"/>
    <w:multiLevelType w:val="hybridMultilevel"/>
    <w:tmpl w:val="6172A9AE"/>
    <w:lvl w:ilvl="0" w:tplc="932A1BF8">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4526D1B"/>
    <w:multiLevelType w:val="hybridMultilevel"/>
    <w:tmpl w:val="5F2EE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17847903">
    <w:abstractNumId w:val="1"/>
  </w:num>
  <w:num w:numId="2" w16cid:durableId="1599290956">
    <w:abstractNumId w:val="4"/>
  </w:num>
  <w:num w:numId="3" w16cid:durableId="560285860">
    <w:abstractNumId w:val="3"/>
  </w:num>
  <w:num w:numId="4" w16cid:durableId="1220821558">
    <w:abstractNumId w:val="0"/>
  </w:num>
  <w:num w:numId="5" w16cid:durableId="1062870440">
    <w:abstractNumId w:val="5"/>
  </w:num>
  <w:num w:numId="6" w16cid:durableId="385028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5"/>
    <w:rsid w:val="0003567A"/>
    <w:rsid w:val="000A013D"/>
    <w:rsid w:val="000D37D4"/>
    <w:rsid w:val="00120E77"/>
    <w:rsid w:val="00173701"/>
    <w:rsid w:val="001A10B7"/>
    <w:rsid w:val="00237C45"/>
    <w:rsid w:val="002F46FB"/>
    <w:rsid w:val="003657A0"/>
    <w:rsid w:val="003C6830"/>
    <w:rsid w:val="005835C7"/>
    <w:rsid w:val="005B0860"/>
    <w:rsid w:val="005D539D"/>
    <w:rsid w:val="007100C2"/>
    <w:rsid w:val="008912DE"/>
    <w:rsid w:val="0092757F"/>
    <w:rsid w:val="00A847BD"/>
    <w:rsid w:val="00AA42A0"/>
    <w:rsid w:val="00B44C0C"/>
    <w:rsid w:val="00BB1B60"/>
    <w:rsid w:val="00BC02BE"/>
    <w:rsid w:val="00D21FF5"/>
    <w:rsid w:val="00E149E6"/>
    <w:rsid w:val="00E40B36"/>
    <w:rsid w:val="00EC2401"/>
    <w:rsid w:val="00EF38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D516"/>
  <w15:chartTrackingRefBased/>
  <w15:docId w15:val="{ACF66EE8-94D1-4A27-80F0-8CC74C0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FF5"/>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8912DE"/>
    <w:pPr>
      <w:keepNext/>
      <w:spacing w:before="240" w:after="60"/>
      <w:outlineLvl w:val="0"/>
    </w:pPr>
    <w:rPr>
      <w:b/>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rsid w:val="00D21FF5"/>
  </w:style>
  <w:style w:type="paragraph" w:customStyle="1" w:styleId="Default">
    <w:name w:val="Default"/>
    <w:autoRedefine/>
    <w:rsid w:val="0092757F"/>
    <w:pPr>
      <w:suppressAutoHyphens/>
      <w:spacing w:after="0" w:line="240" w:lineRule="auto"/>
      <w:jc w:val="both"/>
    </w:pPr>
    <w:rPr>
      <w:rFonts w:ascii="Times New Roman" w:eastAsia="ヒラギノ角ゴ Pro W3" w:hAnsi="Times New Roman" w:cs="Times New Roman"/>
      <w:color w:val="000000"/>
      <w:sz w:val="24"/>
      <w:szCs w:val="20"/>
      <w:lang w:eastAsia="et-EE"/>
    </w:rPr>
  </w:style>
  <w:style w:type="paragraph" w:styleId="Loendilik">
    <w:name w:val="List Paragraph"/>
    <w:basedOn w:val="Normaallaad"/>
    <w:uiPriority w:val="34"/>
    <w:qFormat/>
    <w:rsid w:val="0092757F"/>
    <w:pPr>
      <w:ind w:left="720"/>
      <w:contextualSpacing/>
    </w:pPr>
    <w:rPr>
      <w:rFonts w:ascii="Cambria" w:eastAsia="Calibri" w:hAnsi="Cambria"/>
    </w:rPr>
  </w:style>
  <w:style w:type="character" w:customStyle="1" w:styleId="bold">
    <w:name w:val="bold"/>
    <w:rsid w:val="0092757F"/>
  </w:style>
  <w:style w:type="character" w:customStyle="1" w:styleId="Pealkiri1Mrk">
    <w:name w:val="Pealkiri 1 Märk"/>
    <w:basedOn w:val="Liguvaikefont"/>
    <w:link w:val="Pealkiri1"/>
    <w:rsid w:val="008912DE"/>
    <w:rPr>
      <w:rFonts w:ascii="Times New Roman" w:eastAsia="Times New Roman" w:hAnsi="Times New Roman" w:cs="Times New Roman"/>
      <w:b/>
      <w:bCs/>
      <w:kern w:val="32"/>
      <w:sz w:val="24"/>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3970">
      <w:bodyDiv w:val="1"/>
      <w:marLeft w:val="0"/>
      <w:marRight w:val="0"/>
      <w:marTop w:val="0"/>
      <w:marBottom w:val="0"/>
      <w:divBdr>
        <w:top w:val="none" w:sz="0" w:space="0" w:color="auto"/>
        <w:left w:val="none" w:sz="0" w:space="0" w:color="auto"/>
        <w:bottom w:val="none" w:sz="0" w:space="0" w:color="auto"/>
        <w:right w:val="none" w:sz="0" w:space="0" w:color="auto"/>
      </w:divBdr>
    </w:div>
    <w:div w:id="941643596">
      <w:bodyDiv w:val="1"/>
      <w:marLeft w:val="0"/>
      <w:marRight w:val="0"/>
      <w:marTop w:val="0"/>
      <w:marBottom w:val="0"/>
      <w:divBdr>
        <w:top w:val="none" w:sz="0" w:space="0" w:color="auto"/>
        <w:left w:val="none" w:sz="0" w:space="0" w:color="auto"/>
        <w:bottom w:val="none" w:sz="0" w:space="0" w:color="auto"/>
        <w:right w:val="none" w:sz="0" w:space="0" w:color="auto"/>
      </w:divBdr>
    </w:div>
    <w:div w:id="16626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2019-04-23T08:13:00Z</dcterms:created>
  <dcterms:modified xsi:type="dcterms:W3CDTF">2023-10-03T07:35:00Z</dcterms:modified>
</cp:coreProperties>
</file>