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56CD" w14:textId="77777777" w:rsidR="00D4309D" w:rsidRPr="00D4309D" w:rsidRDefault="00D4309D" w:rsidP="00555E60">
      <w:pPr>
        <w:spacing w:after="0" w:line="240" w:lineRule="auto"/>
        <w:jc w:val="both"/>
        <w:rPr>
          <w:rFonts w:ascii="Times New Roman" w:hAnsi="Times New Roman" w:cs="Times New Roman"/>
          <w:sz w:val="24"/>
          <w:szCs w:val="24"/>
        </w:rPr>
      </w:pPr>
      <w:r w:rsidRPr="00D4309D">
        <w:rPr>
          <w:rFonts w:ascii="Times New Roman" w:hAnsi="Times New Roman" w:cs="Times New Roman"/>
          <w:sz w:val="24"/>
          <w:szCs w:val="24"/>
        </w:rPr>
        <w:t>EESTI ADVOKATUURI JUHATUS</w:t>
      </w:r>
    </w:p>
    <w:p w14:paraId="4A4AB137" w14:textId="77777777" w:rsidR="00D4309D" w:rsidRPr="00D4309D" w:rsidRDefault="00D4309D" w:rsidP="00555E60">
      <w:pPr>
        <w:spacing w:after="0" w:line="240" w:lineRule="auto"/>
        <w:jc w:val="both"/>
        <w:rPr>
          <w:rFonts w:ascii="Times New Roman" w:hAnsi="Times New Roman" w:cs="Times New Roman"/>
          <w:sz w:val="24"/>
          <w:szCs w:val="24"/>
        </w:rPr>
      </w:pPr>
      <w:r w:rsidRPr="00D4309D">
        <w:rPr>
          <w:rFonts w:ascii="Times New Roman" w:hAnsi="Times New Roman" w:cs="Times New Roman"/>
          <w:sz w:val="24"/>
          <w:szCs w:val="24"/>
        </w:rPr>
        <w:t>ISTUNGI PROTOKOLL</w:t>
      </w:r>
    </w:p>
    <w:p w14:paraId="2E7D7468" w14:textId="77777777" w:rsidR="00D4309D" w:rsidRPr="00D4309D" w:rsidRDefault="00D4309D" w:rsidP="00555E60">
      <w:pPr>
        <w:spacing w:after="0" w:line="240" w:lineRule="auto"/>
        <w:jc w:val="both"/>
        <w:rPr>
          <w:rFonts w:ascii="Times New Roman" w:hAnsi="Times New Roman" w:cs="Times New Roman"/>
          <w:sz w:val="24"/>
          <w:szCs w:val="24"/>
        </w:rPr>
      </w:pPr>
      <w:r w:rsidRPr="00D4309D">
        <w:rPr>
          <w:rFonts w:ascii="Times New Roman" w:hAnsi="Times New Roman" w:cs="Times New Roman"/>
          <w:sz w:val="24"/>
          <w:szCs w:val="24"/>
        </w:rPr>
        <w:t>9. veebruar 2021. a nr 3</w:t>
      </w:r>
    </w:p>
    <w:p w14:paraId="3EBD9191" w14:textId="0A6BD9D6" w:rsidR="00D4309D" w:rsidRDefault="00D4309D" w:rsidP="00555E60">
      <w:pPr>
        <w:spacing w:after="0" w:line="240" w:lineRule="auto"/>
        <w:jc w:val="both"/>
        <w:rPr>
          <w:rFonts w:ascii="Times New Roman" w:hAnsi="Times New Roman" w:cs="Times New Roman"/>
          <w:sz w:val="24"/>
          <w:szCs w:val="24"/>
        </w:rPr>
      </w:pPr>
      <w:r w:rsidRPr="00D4309D">
        <w:rPr>
          <w:rFonts w:ascii="Times New Roman" w:hAnsi="Times New Roman" w:cs="Times New Roman"/>
          <w:sz w:val="24"/>
          <w:szCs w:val="24"/>
        </w:rPr>
        <w:t>Tallinn</w:t>
      </w:r>
      <w:r w:rsidRPr="00D4309D">
        <w:rPr>
          <w:rFonts w:ascii="Times New Roman" w:hAnsi="Times New Roman" w:cs="Times New Roman"/>
          <w:sz w:val="24"/>
          <w:szCs w:val="24"/>
        </w:rPr>
        <w:cr/>
      </w:r>
    </w:p>
    <w:p w14:paraId="5CFCA77F" w14:textId="77777777" w:rsidR="00555E60" w:rsidRPr="00D4309D" w:rsidRDefault="00555E60" w:rsidP="00555E60">
      <w:pPr>
        <w:spacing w:after="0" w:line="240" w:lineRule="auto"/>
        <w:jc w:val="both"/>
        <w:rPr>
          <w:rFonts w:ascii="Times New Roman" w:hAnsi="Times New Roman" w:cs="Times New Roman"/>
          <w:sz w:val="24"/>
          <w:szCs w:val="24"/>
        </w:rPr>
      </w:pPr>
    </w:p>
    <w:p w14:paraId="4D869153" w14:textId="68CE9905" w:rsidR="00D4309D" w:rsidRPr="00D4309D" w:rsidRDefault="00555E60" w:rsidP="00555E6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RÕA tasude ja kulude taotlemisest</w:t>
      </w:r>
    </w:p>
    <w:p w14:paraId="5502170B" w14:textId="77777777" w:rsidR="00555E60" w:rsidRDefault="00555E60" w:rsidP="00555E60">
      <w:pPr>
        <w:spacing w:after="0" w:line="240" w:lineRule="auto"/>
        <w:jc w:val="both"/>
        <w:rPr>
          <w:rFonts w:ascii="Times New Roman" w:hAnsi="Times New Roman" w:cs="Times New Roman"/>
          <w:sz w:val="24"/>
          <w:szCs w:val="24"/>
        </w:rPr>
      </w:pPr>
    </w:p>
    <w:p w14:paraId="522902A8" w14:textId="4C3AD3CB" w:rsidR="00D4309D" w:rsidRDefault="00D4309D" w:rsidP="00555E60">
      <w:pPr>
        <w:spacing w:after="0" w:line="240" w:lineRule="auto"/>
        <w:jc w:val="both"/>
        <w:rPr>
          <w:rFonts w:ascii="Times New Roman" w:hAnsi="Times New Roman" w:cs="Times New Roman"/>
          <w:sz w:val="24"/>
          <w:szCs w:val="24"/>
        </w:rPr>
      </w:pPr>
      <w:r w:rsidRPr="00D4309D">
        <w:rPr>
          <w:rFonts w:ascii="Times New Roman" w:hAnsi="Times New Roman" w:cs="Times New Roman"/>
          <w:sz w:val="24"/>
          <w:szCs w:val="24"/>
        </w:rPr>
        <w:t>Ringkonnaprokurörid on RÕA komisjonile avaldanud muret mõningate tendentside pärast riigi õigusabi osutamisel kriminaalasjades. Mõned riigi õigusabi osutavad advokaadid tegelevad lisaks riigi õigusabi osutamisele ka nn ”sotsiaalabi” andmisega (kohtumised klientide sugulastega pakkide vahendamiseks, mitte tõendite ja tõendusteabe vahendamiseks jne) ning lisavad selle õigusabi osutamisena riigi õigusabi tasutaotlusesse. Kasvanud on ka konkreetse menetlustoiminguga mitteseotud nõustamiste trend riigi õigusabi osutavate advokaatide hulgas. Prokuratuuri arvates on arusaamatu, miks on vaja nii tihti kaitsealusega vanglas kohtuda. On tuvastatud ka juhtumeid, kus advokaadid on tasutaotlustes sisestanud valeandmeid, et saada toimingu eest suuremat tasu (nt advokaat on märkinud tasutaotluses nõupidamise ajaks 50 minutit, kuid tegelikkuses kestis kohtumine 25 minutit).</w:t>
      </w:r>
    </w:p>
    <w:p w14:paraId="19697B2D" w14:textId="77777777" w:rsidR="00555E60" w:rsidRDefault="00555E60" w:rsidP="00555E60">
      <w:pPr>
        <w:spacing w:after="0" w:line="240" w:lineRule="auto"/>
        <w:jc w:val="both"/>
        <w:rPr>
          <w:rFonts w:ascii="Times New Roman" w:hAnsi="Times New Roman" w:cs="Times New Roman"/>
          <w:sz w:val="24"/>
          <w:szCs w:val="24"/>
        </w:rPr>
      </w:pPr>
    </w:p>
    <w:p w14:paraId="643B74EC" w14:textId="77777777" w:rsidR="00D4309D" w:rsidRDefault="00D4309D" w:rsidP="00555E60">
      <w:pPr>
        <w:spacing w:after="0" w:line="240" w:lineRule="auto"/>
        <w:jc w:val="both"/>
        <w:rPr>
          <w:rFonts w:ascii="Times New Roman" w:hAnsi="Times New Roman" w:cs="Times New Roman"/>
          <w:sz w:val="24"/>
          <w:szCs w:val="24"/>
        </w:rPr>
      </w:pPr>
      <w:r w:rsidRPr="00D4309D">
        <w:rPr>
          <w:rFonts w:ascii="Times New Roman" w:hAnsi="Times New Roman" w:cs="Times New Roman"/>
          <w:sz w:val="24"/>
          <w:szCs w:val="24"/>
        </w:rPr>
        <w:t xml:space="preserve">RÕS § 4 lg 1 sätestab, et riigi õigusabi on füüsilisele või juriidilisele isikule riigi kulul õigusteenuse osutamine käesolevas seaduses sätestatud alustel ja korras. AdvS § 40 lõike 1 kohaselt on õigusteenus kutsetegevusena õigusnõustamine, isiku esindamine või kaitsmine kohtus, kohtueelses menetluses või mujal ning isikule dokumendi koostamine ja tema huvides muu õigustoimingu tegemine. Seega pakkide vahendamine kliendile ning muu sotsiaalabi teenuse laadne tegevus ei ole riigi õigusabi osutamine ning selle eest ei tohi advokaat taotleda riigi õigusabi tasu. Juhatus juhib tähelepanu, et advokaadid ei tohi selliste tegevustega minna vastuollu advokaadi kutse-eetika nõuetega (advokaadid peavad analüüsima, millised tegevused on advokaadile sobivad advokatuuri eetikakoodeksi § 4 lg 4 mõttes). Ühtlasi tuleb tähelepanelikult jälgida, et a) tegevusega ei rikuta suhtlemispiiranguid, b) välistatud oleks vähimgi võimalus õigusvastasele tegevusele kaasaaitamises, c) ei rikuta KrMS § 214 lg 1 sätestatud kohtueelse menetluse andmete avaldamise piirangut ning d) ei teki huvide konflikti. </w:t>
      </w:r>
    </w:p>
    <w:p w14:paraId="711DFCB8" w14:textId="77777777" w:rsidR="00555E60" w:rsidRDefault="00555E60" w:rsidP="00555E60">
      <w:pPr>
        <w:spacing w:after="0" w:line="240" w:lineRule="auto"/>
        <w:jc w:val="both"/>
        <w:rPr>
          <w:rFonts w:ascii="Times New Roman" w:hAnsi="Times New Roman" w:cs="Times New Roman"/>
          <w:sz w:val="24"/>
          <w:szCs w:val="24"/>
        </w:rPr>
      </w:pPr>
    </w:p>
    <w:p w14:paraId="548BD1A9" w14:textId="53D3F5F3" w:rsidR="00D4309D" w:rsidRDefault="00D4309D" w:rsidP="00555E60">
      <w:pPr>
        <w:spacing w:after="0" w:line="240" w:lineRule="auto"/>
        <w:jc w:val="both"/>
        <w:rPr>
          <w:rFonts w:ascii="Times New Roman" w:hAnsi="Times New Roman" w:cs="Times New Roman"/>
          <w:sz w:val="24"/>
          <w:szCs w:val="24"/>
        </w:rPr>
      </w:pPr>
      <w:r w:rsidRPr="00D4309D">
        <w:rPr>
          <w:rFonts w:ascii="Times New Roman" w:hAnsi="Times New Roman" w:cs="Times New Roman"/>
          <w:sz w:val="24"/>
          <w:szCs w:val="24"/>
        </w:rPr>
        <w:t>Puutuvalt prokuratuuri etteheidetesse korduvate nõupidamiste üle advokaadi ning kliendi vahel</w:t>
      </w:r>
      <w:r w:rsidR="00555E60">
        <w:rPr>
          <w:rFonts w:ascii="Times New Roman" w:hAnsi="Times New Roman" w:cs="Times New Roman"/>
          <w:sz w:val="24"/>
          <w:szCs w:val="24"/>
        </w:rPr>
        <w:t>,</w:t>
      </w:r>
      <w:r w:rsidRPr="00D4309D">
        <w:rPr>
          <w:rFonts w:ascii="Times New Roman" w:hAnsi="Times New Roman" w:cs="Times New Roman"/>
          <w:sz w:val="24"/>
          <w:szCs w:val="24"/>
        </w:rPr>
        <w:t xml:space="preserve"> on juhatus seisukohal, et riigi õigusabi osutav advokaat võib kliendiga kohtuda nii palju, kui on vajalik. Kohtumise vajalikkust ei saa otsustada prokurör, menetleja ega kohtunik. Kohtumiste arv ja kestus sõltub konkreetse kriminaalasja keerukusest, kliendi võimest aru saada talle esitatud kahtlustusest ja tõenditest ning ka advokaadi poolt kaitseülesande täitmisel saadud täiendavast infost. Sellistel kohtumistel arutatule laieneb konfidentsiaalsusnõue, kuid vaidluse korral peab advokaat olema valmis põhjendama kohtumiste vajalikkust ja kestust hoides samal ajal kutsesaladust. Puutuvalt konkretiseerimata vihjetesse võimalikust valeandmete esitamisest riigi õigusabi tasutaotlustes pöörab juhatus järelevalve korras nendele küsimustele tulevikus suuremat tähelepanu. Riigi õigusabi tasutaotlustes tohib õigusteenusena märkida vaid õigusteenuse osutamisega seotud toiminguid ning toiminguteks kulunud aega tuleb kajastada ausalt ning üksnes ulatuses, mis reaalselt kulus õigusteenuse osutamiseks. Vastasel juhul võib see kaasa tuua lisaks distsiplinaarvastutusele ka kriminaalvastutuse (näiteks on Riigikohus sarnases asjas palunud Riigiprokuratuuril kontrollida, kas advokaadi tegevuses riigi õigusabi tasu taotlemisel võivad ilmneda KarS §-des 280, 209 või 218 sätestatud süüteo või selle katse tunnused). </w:t>
      </w:r>
    </w:p>
    <w:p w14:paraId="303CD8DD" w14:textId="77777777" w:rsidR="00D4309D" w:rsidRDefault="00D4309D" w:rsidP="00555E60">
      <w:pPr>
        <w:spacing w:after="0" w:line="240" w:lineRule="auto"/>
        <w:jc w:val="both"/>
        <w:rPr>
          <w:rFonts w:ascii="Times New Roman" w:hAnsi="Times New Roman" w:cs="Times New Roman"/>
          <w:sz w:val="24"/>
          <w:szCs w:val="24"/>
        </w:rPr>
      </w:pPr>
    </w:p>
    <w:p w14:paraId="76F29891" w14:textId="77777777" w:rsidR="00555E60" w:rsidRDefault="00555E60" w:rsidP="00555E60">
      <w:pPr>
        <w:spacing w:after="0" w:line="240" w:lineRule="auto"/>
        <w:jc w:val="both"/>
        <w:rPr>
          <w:rFonts w:ascii="Times New Roman" w:hAnsi="Times New Roman" w:cs="Times New Roman"/>
          <w:sz w:val="24"/>
          <w:szCs w:val="24"/>
        </w:rPr>
      </w:pPr>
    </w:p>
    <w:p w14:paraId="3C8DFE71" w14:textId="77777777" w:rsidR="00D4309D" w:rsidRPr="00D4309D" w:rsidRDefault="00D4309D" w:rsidP="00555E60">
      <w:pPr>
        <w:spacing w:after="0" w:line="240" w:lineRule="auto"/>
        <w:jc w:val="both"/>
        <w:rPr>
          <w:rFonts w:ascii="Times New Roman" w:hAnsi="Times New Roman" w:cs="Times New Roman"/>
          <w:b/>
          <w:bCs/>
          <w:sz w:val="24"/>
          <w:szCs w:val="24"/>
        </w:rPr>
      </w:pPr>
      <w:r w:rsidRPr="00D4309D">
        <w:rPr>
          <w:rFonts w:ascii="Times New Roman" w:hAnsi="Times New Roman" w:cs="Times New Roman"/>
          <w:b/>
          <w:bCs/>
          <w:sz w:val="24"/>
          <w:szCs w:val="24"/>
        </w:rPr>
        <w:t xml:space="preserve">Juhatus </w:t>
      </w:r>
    </w:p>
    <w:p w14:paraId="41995F2D" w14:textId="77777777" w:rsidR="00D4309D" w:rsidRPr="00D4309D" w:rsidRDefault="00D4309D" w:rsidP="00555E60">
      <w:pPr>
        <w:spacing w:after="0" w:line="240" w:lineRule="auto"/>
        <w:jc w:val="both"/>
        <w:rPr>
          <w:rFonts w:ascii="Times New Roman" w:hAnsi="Times New Roman" w:cs="Times New Roman"/>
          <w:b/>
          <w:bCs/>
          <w:sz w:val="24"/>
          <w:szCs w:val="24"/>
        </w:rPr>
      </w:pPr>
      <w:r w:rsidRPr="00D4309D">
        <w:rPr>
          <w:rFonts w:ascii="Times New Roman" w:hAnsi="Times New Roman" w:cs="Times New Roman"/>
          <w:b/>
          <w:bCs/>
          <w:sz w:val="24"/>
          <w:szCs w:val="24"/>
        </w:rPr>
        <w:lastRenderedPageBreak/>
        <w:t xml:space="preserve">O T S U S T A S: </w:t>
      </w:r>
    </w:p>
    <w:p w14:paraId="602142EE" w14:textId="2E67078C" w:rsidR="001074D8" w:rsidRPr="00D4309D" w:rsidRDefault="00D4309D" w:rsidP="00555E60">
      <w:pPr>
        <w:spacing w:after="0" w:line="240" w:lineRule="auto"/>
        <w:jc w:val="both"/>
        <w:rPr>
          <w:rFonts w:ascii="Times New Roman" w:hAnsi="Times New Roman" w:cs="Times New Roman"/>
          <w:b/>
          <w:bCs/>
          <w:sz w:val="24"/>
          <w:szCs w:val="24"/>
        </w:rPr>
      </w:pPr>
      <w:r w:rsidRPr="00D4309D">
        <w:rPr>
          <w:rFonts w:ascii="Times New Roman" w:hAnsi="Times New Roman" w:cs="Times New Roman"/>
          <w:b/>
          <w:bCs/>
          <w:sz w:val="24"/>
          <w:szCs w:val="24"/>
        </w:rPr>
        <w:t>Võtta teadmiseks RÕA komisjoni istungil tõstatatud küsimused. Selgitada Eesti Advokatuuri liikmetele juhatuse seisukohti.</w:t>
      </w:r>
    </w:p>
    <w:sectPr w:rsidR="001074D8" w:rsidRPr="00D43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D8"/>
    <w:rsid w:val="001074D8"/>
    <w:rsid w:val="00555E60"/>
    <w:rsid w:val="00D430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1A1F"/>
  <w15:chartTrackingRefBased/>
  <w15:docId w15:val="{2305A475-8CDF-40A0-9126-B0551D21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3107</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Sarri</dc:creator>
  <cp:keywords/>
  <dc:description/>
  <cp:lastModifiedBy>Jane Suur</cp:lastModifiedBy>
  <cp:revision>3</cp:revision>
  <dcterms:created xsi:type="dcterms:W3CDTF">2021-03-02T09:55:00Z</dcterms:created>
  <dcterms:modified xsi:type="dcterms:W3CDTF">2023-09-29T09:07:00Z</dcterms:modified>
</cp:coreProperties>
</file>