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72E3" w14:textId="77777777" w:rsidR="0065037E" w:rsidRPr="006A75D3" w:rsidRDefault="0065037E" w:rsidP="0065037E">
      <w:pPr>
        <w:rPr>
          <w:color w:val="000000" w:themeColor="text1"/>
        </w:rPr>
      </w:pPr>
      <w:r w:rsidRPr="006A75D3">
        <w:rPr>
          <w:b w:val="0"/>
          <w:bCs/>
          <w:color w:val="000000" w:themeColor="text1"/>
        </w:rPr>
        <w:t>EESTI ADVOKATUURI JUHATUS</w:t>
      </w:r>
    </w:p>
    <w:p w14:paraId="1F2C5784" w14:textId="77777777" w:rsidR="0065037E" w:rsidRPr="006A75D3" w:rsidRDefault="0065037E" w:rsidP="0065037E">
      <w:pPr>
        <w:jc w:val="both"/>
        <w:rPr>
          <w:b w:val="0"/>
          <w:bCs/>
          <w:color w:val="000000" w:themeColor="text1"/>
        </w:rPr>
      </w:pPr>
      <w:r w:rsidRPr="006A75D3">
        <w:rPr>
          <w:b w:val="0"/>
          <w:bCs/>
          <w:color w:val="000000" w:themeColor="text1"/>
        </w:rPr>
        <w:t>ISTUNGI PROTOKOLL</w:t>
      </w:r>
    </w:p>
    <w:p w14:paraId="03262FC2" w14:textId="77777777" w:rsidR="0065037E" w:rsidRPr="006A75D3" w:rsidRDefault="0065037E" w:rsidP="0065037E">
      <w:pPr>
        <w:jc w:val="both"/>
        <w:rPr>
          <w:b w:val="0"/>
          <w:bCs/>
          <w:color w:val="000000" w:themeColor="text1"/>
        </w:rPr>
      </w:pPr>
      <w:r w:rsidRPr="006A75D3">
        <w:rPr>
          <w:b w:val="0"/>
          <w:bCs/>
          <w:color w:val="000000" w:themeColor="text1"/>
        </w:rPr>
        <w:t>2. aprill 2019. a nr 7</w:t>
      </w:r>
    </w:p>
    <w:p w14:paraId="6B02DFEB" w14:textId="77777777" w:rsidR="0065037E" w:rsidRPr="006A75D3" w:rsidRDefault="0065037E" w:rsidP="0065037E">
      <w:pPr>
        <w:jc w:val="both"/>
        <w:rPr>
          <w:b w:val="0"/>
          <w:bCs/>
          <w:color w:val="000000" w:themeColor="text1"/>
        </w:rPr>
      </w:pPr>
      <w:r w:rsidRPr="006A75D3">
        <w:rPr>
          <w:b w:val="0"/>
          <w:bCs/>
          <w:color w:val="000000" w:themeColor="text1"/>
        </w:rPr>
        <w:t>Tallinn</w:t>
      </w:r>
    </w:p>
    <w:p w14:paraId="68552E49" w14:textId="77777777" w:rsidR="005876C1" w:rsidRDefault="005876C1"/>
    <w:p w14:paraId="26DD974A" w14:textId="77777777" w:rsidR="0065037E" w:rsidRPr="0065037E" w:rsidRDefault="0065037E"/>
    <w:p w14:paraId="1E01B386" w14:textId="77777777" w:rsidR="0065037E" w:rsidRPr="0065037E" w:rsidRDefault="0065037E" w:rsidP="0065037E">
      <w:pPr>
        <w:jc w:val="both"/>
        <w:outlineLvl w:val="0"/>
        <w:rPr>
          <w:bCs/>
          <w:color w:val="000000" w:themeColor="text1"/>
        </w:rPr>
      </w:pPr>
    </w:p>
    <w:p w14:paraId="4250D3A7" w14:textId="77777777" w:rsidR="0065037E" w:rsidRPr="001A3FEE" w:rsidRDefault="0065037E" w:rsidP="001A3FEE">
      <w:pPr>
        <w:jc w:val="both"/>
        <w:outlineLvl w:val="0"/>
        <w:rPr>
          <w:bCs/>
          <w:color w:val="000000" w:themeColor="text1"/>
        </w:rPr>
      </w:pPr>
      <w:r w:rsidRPr="001A3FEE">
        <w:rPr>
          <w:bCs/>
          <w:color w:val="000000" w:themeColor="text1"/>
        </w:rPr>
        <w:t>Justiitsministeeriumi tulemusauditist „Riigi õigusabi osutamise tasustamise ja kulude hüvitamise korralduse mõjusus“ tulenevad soovitused</w:t>
      </w:r>
    </w:p>
    <w:p w14:paraId="31D47B72" w14:textId="77777777" w:rsidR="0065037E" w:rsidRPr="00E2500D" w:rsidRDefault="0065037E" w:rsidP="0065037E">
      <w:pPr>
        <w:jc w:val="both"/>
        <w:outlineLvl w:val="0"/>
        <w:rPr>
          <w:bCs/>
          <w:color w:val="FF0000"/>
        </w:rPr>
      </w:pPr>
    </w:p>
    <w:p w14:paraId="3F908CB8" w14:textId="77777777" w:rsidR="0065037E" w:rsidRPr="00E2500D" w:rsidRDefault="0065037E" w:rsidP="0065037E">
      <w:pPr>
        <w:jc w:val="both"/>
        <w:rPr>
          <w:rFonts w:eastAsia="Calibri"/>
          <w:b w:val="0"/>
        </w:rPr>
      </w:pPr>
      <w:r w:rsidRPr="00E2500D">
        <w:rPr>
          <w:rFonts w:eastAsia="Calibri"/>
          <w:b w:val="0"/>
        </w:rPr>
        <w:t xml:space="preserve">Justiitsministeerium on auditeerinud tulemusauditi </w:t>
      </w:r>
      <w:bookmarkStart w:id="0" w:name="_Hlk530494354"/>
      <w:r w:rsidRPr="00E2500D">
        <w:rPr>
          <w:rFonts w:eastAsia="Calibri"/>
          <w:b w:val="0"/>
        </w:rPr>
        <w:t>„Riigi õigusabi osutamise tasustamise ja kulude hüvitamise korralduse mõjusus“</w:t>
      </w:r>
      <w:bookmarkEnd w:id="0"/>
      <w:r w:rsidRPr="00E2500D">
        <w:rPr>
          <w:rFonts w:eastAsia="Calibri"/>
          <w:b w:val="0"/>
        </w:rPr>
        <w:t xml:space="preserve"> käigus RÕA tasutaotluste esitamist ja nende rahuldamist kriminaalasjade kohtuistungitel osalemise eest. Auditi tulemusena on tehtud järgnevad tähelepanekud ja soovitused, mida tuleks RÕA osutades järgida:</w:t>
      </w:r>
    </w:p>
    <w:p w14:paraId="2773538D" w14:textId="77777777" w:rsidR="0065037E" w:rsidRPr="002E2DD4" w:rsidRDefault="0065037E" w:rsidP="0065037E">
      <w:pPr>
        <w:jc w:val="both"/>
        <w:rPr>
          <w:b w:val="0"/>
          <w:bCs/>
          <w:color w:val="000000"/>
        </w:rPr>
      </w:pPr>
    </w:p>
    <w:p w14:paraId="0E59007F" w14:textId="77777777" w:rsidR="0065037E" w:rsidRPr="002E2DD4" w:rsidRDefault="0065037E" w:rsidP="0065037E">
      <w:pPr>
        <w:pStyle w:val="Default"/>
        <w:numPr>
          <w:ilvl w:val="0"/>
          <w:numId w:val="2"/>
        </w:numPr>
        <w:suppressAutoHyphens w:val="0"/>
        <w:autoSpaceDE w:val="0"/>
        <w:autoSpaceDN w:val="0"/>
        <w:adjustRightInd w:val="0"/>
        <w:rPr>
          <w:b w:val="0"/>
        </w:rPr>
      </w:pPr>
      <w:r w:rsidRPr="002E2DD4">
        <w:rPr>
          <w:b w:val="0"/>
        </w:rPr>
        <w:t xml:space="preserve">Advokaadid peavad esitama istungil osalemise kestuse kellaajad tasutaotlustes vastavalt kehtivale tasuregulatsioonile. Tähelepanu tuleb pöörata asjaolule, et istungikellaajad tuleb esitada vastavalt istungiprotokollis märgitule, sealjuures minuti täpsusega. Kui protokollis või istungi salvestises esineb vastuolusid, tuleb sellest kohut teavitada. </w:t>
      </w:r>
      <w:r>
        <w:rPr>
          <w:b w:val="0"/>
        </w:rPr>
        <w:t xml:space="preserve">Kui </w:t>
      </w:r>
      <w:r w:rsidRPr="002E2DD4">
        <w:rPr>
          <w:b w:val="0"/>
        </w:rPr>
        <w:t>RÕA tasutaotlus</w:t>
      </w:r>
      <w:r>
        <w:rPr>
          <w:b w:val="0"/>
        </w:rPr>
        <w:t xml:space="preserve"> </w:t>
      </w:r>
      <w:r w:rsidRPr="002E2DD4">
        <w:rPr>
          <w:b w:val="0"/>
        </w:rPr>
        <w:t>e</w:t>
      </w:r>
      <w:r>
        <w:rPr>
          <w:b w:val="0"/>
        </w:rPr>
        <w:t>sitatakse</w:t>
      </w:r>
      <w:r w:rsidRPr="002E2DD4">
        <w:rPr>
          <w:b w:val="0"/>
        </w:rPr>
        <w:t xml:space="preserve"> prognoositud kellaaegadega, tuleb sellele kohtu tähelepanu juhtida. </w:t>
      </w:r>
    </w:p>
    <w:p w14:paraId="0774CB6D" w14:textId="77777777" w:rsidR="0065037E" w:rsidRPr="002E2DD4" w:rsidRDefault="0065037E" w:rsidP="0065037E">
      <w:pPr>
        <w:pStyle w:val="Default"/>
        <w:ind w:left="720"/>
        <w:rPr>
          <w:b w:val="0"/>
        </w:rPr>
      </w:pPr>
    </w:p>
    <w:p w14:paraId="26ACCC6C" w14:textId="77777777" w:rsidR="0065037E" w:rsidRPr="00E2500D" w:rsidRDefault="0065037E" w:rsidP="0065037E">
      <w:pPr>
        <w:pStyle w:val="Loendilik"/>
        <w:numPr>
          <w:ilvl w:val="0"/>
          <w:numId w:val="2"/>
        </w:numPr>
        <w:jc w:val="both"/>
        <w:rPr>
          <w:rFonts w:ascii="Times New Roman" w:hAnsi="Times New Roman"/>
          <w:b w:val="0"/>
          <w:sz w:val="24"/>
          <w:szCs w:val="24"/>
        </w:rPr>
      </w:pPr>
      <w:bookmarkStart w:id="1" w:name="_Hlk965614"/>
      <w:r w:rsidRPr="00E2500D">
        <w:rPr>
          <w:rFonts w:ascii="Times New Roman" w:hAnsi="Times New Roman"/>
          <w:b w:val="0"/>
          <w:sz w:val="24"/>
          <w:szCs w:val="24"/>
        </w:rPr>
        <w:t xml:space="preserve">Samas menetluses kahele või enamale isikule osutatud riigi õigusabi tasu tuleb jagada kaitsealuste või esindatavate vahel ka juhul, kui õigusteenust osutatakse vähemalt ühele kliendile asenduskaitsjana. Kui tasu ei jagata, tekitab see ebakohti riigi õigusabi statistikas ning võib luua </w:t>
      </w:r>
      <w:bookmarkEnd w:id="1"/>
      <w:r w:rsidRPr="00E2500D">
        <w:rPr>
          <w:rFonts w:ascii="Times New Roman" w:hAnsi="Times New Roman"/>
          <w:b w:val="0"/>
          <w:sz w:val="24"/>
          <w:szCs w:val="24"/>
        </w:rPr>
        <w:t>väärarvestusi õigusabi saajate hüvitamisele kuuluvate tasude arvestuses.</w:t>
      </w:r>
    </w:p>
    <w:p w14:paraId="4E2B0B13" w14:textId="77777777" w:rsidR="0065037E" w:rsidRPr="00E2500D" w:rsidRDefault="0065037E" w:rsidP="0065037E">
      <w:pPr>
        <w:pStyle w:val="Loendilik"/>
        <w:spacing w:after="0" w:line="240" w:lineRule="auto"/>
        <w:jc w:val="both"/>
        <w:rPr>
          <w:rFonts w:ascii="Times New Roman" w:hAnsi="Times New Roman"/>
          <w:b w:val="0"/>
          <w:sz w:val="24"/>
          <w:szCs w:val="24"/>
        </w:rPr>
      </w:pPr>
    </w:p>
    <w:p w14:paraId="6454A873" w14:textId="77777777" w:rsidR="0065037E" w:rsidRPr="00E2500D" w:rsidRDefault="0065037E" w:rsidP="0065037E">
      <w:pPr>
        <w:pStyle w:val="Loendilik"/>
        <w:spacing w:after="0" w:line="240" w:lineRule="auto"/>
        <w:jc w:val="both"/>
        <w:rPr>
          <w:rFonts w:ascii="Times New Roman" w:hAnsi="Times New Roman"/>
          <w:b w:val="0"/>
          <w:sz w:val="24"/>
          <w:szCs w:val="24"/>
        </w:rPr>
      </w:pPr>
      <w:r w:rsidRPr="00E2500D">
        <w:rPr>
          <w:rFonts w:ascii="Times New Roman" w:hAnsi="Times New Roman"/>
          <w:b w:val="0"/>
          <w:sz w:val="24"/>
          <w:szCs w:val="24"/>
        </w:rPr>
        <w:t xml:space="preserve"> </w:t>
      </w:r>
    </w:p>
    <w:p w14:paraId="1ECF27BC" w14:textId="77777777" w:rsidR="0065037E" w:rsidRPr="00E2500D" w:rsidRDefault="0065037E" w:rsidP="0065037E">
      <w:pPr>
        <w:jc w:val="both"/>
        <w:rPr>
          <w:rFonts w:eastAsia="Calibri"/>
          <w:b w:val="0"/>
        </w:rPr>
      </w:pPr>
      <w:r w:rsidRPr="00E2500D">
        <w:rPr>
          <w:rFonts w:eastAsia="Calibri"/>
          <w:b w:val="0"/>
        </w:rPr>
        <w:t>Juhatus</w:t>
      </w:r>
    </w:p>
    <w:p w14:paraId="0C34169D" w14:textId="77777777" w:rsidR="0065037E" w:rsidRPr="00E2500D" w:rsidRDefault="0065037E" w:rsidP="0065037E">
      <w:pPr>
        <w:jc w:val="both"/>
        <w:rPr>
          <w:rFonts w:eastAsia="Calibri"/>
          <w:b w:val="0"/>
        </w:rPr>
      </w:pPr>
    </w:p>
    <w:p w14:paraId="45544B2B" w14:textId="77777777" w:rsidR="0065037E" w:rsidRPr="00E2500D" w:rsidRDefault="0065037E" w:rsidP="0065037E">
      <w:pPr>
        <w:jc w:val="both"/>
        <w:rPr>
          <w:rFonts w:eastAsia="Calibri"/>
        </w:rPr>
      </w:pPr>
      <w:r w:rsidRPr="00E2500D">
        <w:rPr>
          <w:rFonts w:eastAsia="Calibri"/>
        </w:rPr>
        <w:t>O T S U S T A S:</w:t>
      </w:r>
    </w:p>
    <w:p w14:paraId="4DD48B0F" w14:textId="77777777" w:rsidR="0065037E" w:rsidRPr="00E2500D" w:rsidRDefault="0065037E" w:rsidP="0065037E">
      <w:pPr>
        <w:jc w:val="both"/>
        <w:rPr>
          <w:rFonts w:eastAsia="Calibri"/>
        </w:rPr>
      </w:pPr>
    </w:p>
    <w:p w14:paraId="6DE7A180" w14:textId="77777777" w:rsidR="0065037E" w:rsidRPr="00E2500D" w:rsidRDefault="0065037E" w:rsidP="0065037E">
      <w:pPr>
        <w:jc w:val="both"/>
        <w:rPr>
          <w:rFonts w:eastAsia="Calibri"/>
        </w:rPr>
      </w:pPr>
      <w:r w:rsidRPr="00E2500D">
        <w:rPr>
          <w:rFonts w:eastAsia="Calibri"/>
        </w:rPr>
        <w:t>Teha auditi soovitused RÕA osutavatele advokaatidele teatavaks.</w:t>
      </w:r>
    </w:p>
    <w:p w14:paraId="6A2BB0A5" w14:textId="77777777" w:rsidR="0065037E" w:rsidRDefault="0065037E"/>
    <w:sectPr w:rsidR="0065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0DDC02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F4E36D0"/>
    <w:multiLevelType w:val="multilevel"/>
    <w:tmpl w:val="14E4F4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7C1CB7"/>
    <w:multiLevelType w:val="hybridMultilevel"/>
    <w:tmpl w:val="B99AF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390392">
    <w:abstractNumId w:val="0"/>
  </w:num>
  <w:num w:numId="2" w16cid:durableId="1792284753">
    <w:abstractNumId w:val="2"/>
  </w:num>
  <w:num w:numId="3" w16cid:durableId="159882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7E"/>
    <w:rsid w:val="001A3FEE"/>
    <w:rsid w:val="005876C1"/>
    <w:rsid w:val="0065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6DDA"/>
  <w15:chartTrackingRefBased/>
  <w15:docId w15:val="{E7D56FC7-EFC6-4B76-8805-11F82F12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5037E"/>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rsid w:val="0065037E"/>
    <w:pPr>
      <w:suppressAutoHyphens/>
      <w:spacing w:after="0" w:line="240" w:lineRule="auto"/>
      <w:jc w:val="both"/>
    </w:pPr>
    <w:rPr>
      <w:rFonts w:ascii="Times New Roman" w:eastAsia="ヒラギノ角ゴ Pro W3" w:hAnsi="Times New Roman" w:cs="Times New Roman"/>
      <w:b/>
      <w:color w:val="000000"/>
      <w:sz w:val="24"/>
      <w:szCs w:val="24"/>
      <w:bdr w:val="none" w:sz="0" w:space="0" w:color="auto" w:frame="1"/>
      <w:lang w:val="et-EE" w:eastAsia="et-EE"/>
    </w:rPr>
  </w:style>
  <w:style w:type="paragraph" w:styleId="Loendilik">
    <w:name w:val="List Paragraph"/>
    <w:basedOn w:val="Normaallaad"/>
    <w:uiPriority w:val="34"/>
    <w:qFormat/>
    <w:rsid w:val="0065037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1243</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2019-06-12T11:49:00Z</dcterms:created>
  <dcterms:modified xsi:type="dcterms:W3CDTF">2023-10-02T08:32:00Z</dcterms:modified>
</cp:coreProperties>
</file>