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5D9A" w:rsidRPr="001701CB" w:rsidRDefault="00135D9A" w:rsidP="00135D9A">
      <w:pPr>
        <w:tabs>
          <w:tab w:val="left" w:pos="2410"/>
        </w:tabs>
        <w:jc w:val="both"/>
        <w:rPr>
          <w:noProof/>
          <w:color w:val="000000"/>
        </w:rPr>
      </w:pPr>
      <w:r w:rsidRPr="001701CB">
        <w:rPr>
          <w:noProof/>
          <w:color w:val="000000"/>
        </w:rPr>
        <w:t>EESTI ADVOKATUURI JUHATUS</w:t>
      </w:r>
    </w:p>
    <w:p w:rsidR="00135D9A" w:rsidRPr="001701CB" w:rsidRDefault="00135D9A" w:rsidP="00135D9A">
      <w:pPr>
        <w:tabs>
          <w:tab w:val="right" w:pos="8666"/>
        </w:tabs>
        <w:jc w:val="both"/>
        <w:rPr>
          <w:noProof/>
          <w:color w:val="000000"/>
        </w:rPr>
      </w:pPr>
      <w:r w:rsidRPr="001701CB">
        <w:rPr>
          <w:noProof/>
          <w:color w:val="000000"/>
        </w:rPr>
        <w:t>ISTUNGI PROTOKOLL</w:t>
      </w:r>
      <w:r w:rsidRPr="001701CB">
        <w:rPr>
          <w:noProof/>
          <w:color w:val="000000"/>
        </w:rPr>
        <w:tab/>
      </w:r>
      <w:r w:rsidRPr="001701CB">
        <w:rPr>
          <w:noProof/>
          <w:color w:val="000000"/>
        </w:rPr>
        <w:tab/>
      </w:r>
    </w:p>
    <w:p w:rsidR="00135D9A" w:rsidRPr="001701CB" w:rsidRDefault="00135D9A" w:rsidP="00135D9A">
      <w:pPr>
        <w:tabs>
          <w:tab w:val="left" w:pos="5340"/>
        </w:tabs>
        <w:jc w:val="both"/>
        <w:rPr>
          <w:noProof/>
          <w:color w:val="000000"/>
        </w:rPr>
      </w:pPr>
      <w:r>
        <w:rPr>
          <w:noProof/>
          <w:color w:val="000000"/>
        </w:rPr>
        <w:t>1</w:t>
      </w:r>
      <w:r w:rsidRPr="001701CB">
        <w:rPr>
          <w:noProof/>
          <w:color w:val="000000"/>
        </w:rPr>
        <w:t>5. august 2014. a nr 1</w:t>
      </w:r>
      <w:r>
        <w:rPr>
          <w:noProof/>
          <w:color w:val="000000"/>
        </w:rPr>
        <w:t>6</w:t>
      </w:r>
      <w:r w:rsidRPr="001701CB">
        <w:rPr>
          <w:noProof/>
          <w:color w:val="000000"/>
        </w:rPr>
        <w:tab/>
      </w:r>
    </w:p>
    <w:p w:rsidR="00135D9A" w:rsidRPr="001701CB" w:rsidRDefault="00135D9A" w:rsidP="00135D9A">
      <w:pPr>
        <w:tabs>
          <w:tab w:val="center" w:pos="4513"/>
          <w:tab w:val="right" w:pos="8666"/>
        </w:tabs>
        <w:jc w:val="both"/>
        <w:rPr>
          <w:noProof/>
          <w:color w:val="000000"/>
        </w:rPr>
      </w:pPr>
      <w:r w:rsidRPr="001701CB">
        <w:rPr>
          <w:noProof/>
          <w:color w:val="000000"/>
        </w:rPr>
        <w:t>Tallinn</w:t>
      </w:r>
    </w:p>
    <w:p w:rsidR="00135D9A" w:rsidRDefault="00135D9A" w:rsidP="00135D9A">
      <w:pPr>
        <w:jc w:val="both"/>
        <w:rPr>
          <w:b/>
          <w:bCs/>
          <w:color w:val="000000"/>
        </w:rPr>
      </w:pPr>
    </w:p>
    <w:p w:rsidR="00135D9A" w:rsidRDefault="00135D9A" w:rsidP="00135D9A">
      <w:pPr>
        <w:jc w:val="both"/>
        <w:rPr>
          <w:b/>
          <w:bCs/>
          <w:color w:val="000000"/>
        </w:rPr>
      </w:pPr>
    </w:p>
    <w:p w:rsidR="00135D9A" w:rsidRDefault="00135D9A" w:rsidP="00135D9A">
      <w:pPr>
        <w:jc w:val="both"/>
        <w:rPr>
          <w:b/>
          <w:bCs/>
          <w:color w:val="000000"/>
        </w:rPr>
      </w:pPr>
    </w:p>
    <w:p w:rsidR="000E6C11" w:rsidRDefault="000E6C11" w:rsidP="00135D9A">
      <w:pPr>
        <w:jc w:val="both"/>
        <w:rPr>
          <w:b/>
          <w:bCs/>
          <w:color w:val="000000"/>
        </w:rPr>
      </w:pPr>
    </w:p>
    <w:p w:rsidR="000E6C11" w:rsidRDefault="000E6C11" w:rsidP="00135D9A">
      <w:pPr>
        <w:jc w:val="both"/>
        <w:rPr>
          <w:b/>
          <w:bCs/>
          <w:color w:val="000000"/>
        </w:rPr>
      </w:pPr>
      <w:r>
        <w:rPr>
          <w:b/>
          <w:bCs/>
          <w:color w:val="000000"/>
        </w:rPr>
        <w:t>Sisendkäibemaksu mahaarvamine (isikliku auto kasutamine)</w:t>
      </w:r>
    </w:p>
    <w:p w:rsidR="000E6C11" w:rsidRDefault="000E6C11" w:rsidP="00135D9A">
      <w:pPr>
        <w:jc w:val="both"/>
        <w:rPr>
          <w:b/>
          <w:bCs/>
          <w:color w:val="000000"/>
        </w:rPr>
      </w:pPr>
    </w:p>
    <w:p w:rsidR="00135D9A" w:rsidRDefault="00135D9A" w:rsidP="00135D9A">
      <w:pPr>
        <w:jc w:val="both"/>
      </w:pPr>
      <w:r>
        <w:t>Advokaat märgib avalduses, et muudatuste kohaselt ei saaks enam maha arvata sisendkäibemaksu, mis on tasutud sõiduauto kasutamisel teenuste osutamiseks, ka mitte riigi õigusabi ettenähtud ülesannete täitmisel mitte enam kui 50%. See tähendaks, et riik saab käibemaksuna mitte käibemaksuseaduses sätestatu 20%, vaid 20 – 10 + 20 ehk kokku 30% maksustatavalt väärtuselt. Arvestus rajaneb asjaolul, et 20% käibemaks mõistetakse kohtu või menetleja otsustusega  ka süüdistatavalt või menetlusaluselt isikult välja või jäetakse see riigi kanda. Seega on põhjendamatu nõuda ka teenust osutanud advokaadibüroolt või advokaadilt 50% mahaarvamist sisendkäibemaksust sõiduauto kulude osas, millise suurus on riigi õigusabi seaduse alusel jäetud advokatuuri määrata ja millele vastavalt on koostatud ka tasujuhend.</w:t>
      </w:r>
    </w:p>
    <w:p w:rsidR="00135D9A" w:rsidRDefault="00135D9A" w:rsidP="00135D9A">
      <w:pPr>
        <w:jc w:val="both"/>
      </w:pPr>
    </w:p>
    <w:p w:rsidR="00135D9A" w:rsidRDefault="00135D9A" w:rsidP="00135D9A">
      <w:pPr>
        <w:jc w:val="both"/>
      </w:pPr>
      <w:r>
        <w:t xml:space="preserve">Advokaat palub juhatusel pöörduda selgituse ja loa saamiseks MTA poole, et lubada riigi õigusabi osutamisel kantud sõiduauto kasutamisel tekkinud ekspluatatsioonikulude osas kaasnev käibemaks täielikult maha arvata sisendkäibemaksuna. </w:t>
      </w:r>
    </w:p>
    <w:p w:rsidR="00135D9A" w:rsidRDefault="00135D9A" w:rsidP="00135D9A">
      <w:pPr>
        <w:jc w:val="both"/>
      </w:pPr>
    </w:p>
    <w:p w:rsidR="00135D9A" w:rsidRDefault="00135D9A" w:rsidP="00135D9A">
      <w:pPr>
        <w:jc w:val="both"/>
      </w:pPr>
      <w:r>
        <w:t xml:space="preserve">Dokumentaalselt kulude tõendamiseks oleks võimalik lahendus, et riigi õigusabi tasuarvestuslehele lisataks lahter, kus on näidatud kulu seoses sõiduauto kasutamisega ning </w:t>
      </w:r>
    </w:p>
    <w:p w:rsidR="00135D9A" w:rsidRDefault="00135D9A" w:rsidP="00135D9A">
      <w:pPr>
        <w:jc w:val="both"/>
      </w:pPr>
    </w:p>
    <w:p w:rsidR="00135D9A" w:rsidRDefault="00135D9A" w:rsidP="00135D9A">
      <w:pPr>
        <w:jc w:val="both"/>
      </w:pPr>
      <w:r>
        <w:t>advokaadibürood või advokaadid saaksid selle lisada MTA soovil käibedeklaratsioonile, ka advokatuurile esitatavatel arvetel on võimalik eraldi näidata sõiduauto kasutamisega seotud kulud, sh käibemaks.</w:t>
      </w:r>
    </w:p>
    <w:p w:rsidR="00135D9A" w:rsidRDefault="00135D9A" w:rsidP="00135D9A">
      <w:pPr>
        <w:jc w:val="both"/>
      </w:pPr>
    </w:p>
    <w:p w:rsidR="00135D9A" w:rsidRDefault="00135D9A" w:rsidP="00135D9A">
      <w:pPr>
        <w:jc w:val="both"/>
      </w:pPr>
      <w:r>
        <w:t>Lühidalt on büroopidaja mure, et alates detsembrist ei saa ta enam sõiduautoga seonduvatel kuludelt käibemaksu 100% riigilt tagasi küsida.</w:t>
      </w:r>
    </w:p>
    <w:p w:rsidR="00135D9A" w:rsidRDefault="00135D9A" w:rsidP="00135D9A">
      <w:pPr>
        <w:jc w:val="both"/>
      </w:pPr>
    </w:p>
    <w:p w:rsidR="00135D9A" w:rsidRPr="00AC3C63" w:rsidRDefault="00135D9A" w:rsidP="00135D9A">
      <w:pPr>
        <w:jc w:val="both"/>
        <w:rPr>
          <w:iCs/>
        </w:rPr>
      </w:pPr>
      <w:r w:rsidRPr="00AC3C63">
        <w:rPr>
          <w:iCs/>
        </w:rPr>
        <w:t>Juhatus selgitab, et alates 01.12.2014. a jõustuva käibemaksuseaduse § 30 lõike 2 kohaselt  tuleb ettevõtluses kasutatava sõiduauto soetamisel või kasutuslepingu alusel kasutamisel ning sellise sõiduauto tarbeks kaupade soetamisel ja teenuste saamisel arvestada arvestatud käibemaksust maha 50 protsenti sisendkäibemaksust. Alates 01.12.2014. a jõustuva käibemaksuseaduse § 30 lõike 4 punkti 5 kohaselt ei kohaldata piirangut, kui sõiduautot kasutatakse eranditult vaid ettevõtluse tarbeks.</w:t>
      </w:r>
    </w:p>
    <w:p w:rsidR="00135D9A" w:rsidRPr="00AC3C63" w:rsidRDefault="00135D9A" w:rsidP="00135D9A">
      <w:pPr>
        <w:jc w:val="both"/>
        <w:rPr>
          <w:iCs/>
        </w:rPr>
      </w:pPr>
    </w:p>
    <w:p w:rsidR="00135D9A" w:rsidRPr="00AC3C63" w:rsidRDefault="00135D9A" w:rsidP="00135D9A">
      <w:pPr>
        <w:jc w:val="both"/>
        <w:rPr>
          <w:iCs/>
        </w:rPr>
      </w:pPr>
      <w:r w:rsidRPr="00AC3C63">
        <w:rPr>
          <w:iCs/>
        </w:rPr>
        <w:t xml:space="preserve">Tasude ja kulude kord punkt 63 näeb ette isikliku või advokaadibüroo pidaja sõiduauto kasutamise kulude hüvitise 0,3 eurot iga läbitud kilomeetri kohta. See kulude hüvitis on büroopidaja käive (0,3+ 20%, kokku seega 0,36 eurot kilomeetri kohta). See on sõiduauto kasutuse hüvitis: kütus, remont, kulum jne. Näiteks: tasukorras ei kajastu remondikulu arve, millelt siis 01.12.2014. a </w:t>
      </w:r>
      <w:r w:rsidRPr="00AC3C63">
        <w:rPr>
          <w:iCs/>
        </w:rPr>
        <w:lastRenderedPageBreak/>
        <w:t xml:space="preserve">jõustuva käibemaksuseaduse järgi saaks sisendkäibemaksu tagasi ainult 50% ulatuses. Sõiduauto kasutusega seonduvad kuludokumendid ei ole tasukorra mõistes olulised. </w:t>
      </w:r>
    </w:p>
    <w:p w:rsidR="00135D9A" w:rsidRPr="00AC3C63" w:rsidRDefault="00135D9A" w:rsidP="00135D9A">
      <w:pPr>
        <w:jc w:val="both"/>
        <w:rPr>
          <w:iCs/>
        </w:rPr>
      </w:pPr>
    </w:p>
    <w:p w:rsidR="00135D9A" w:rsidRPr="00AC3C63" w:rsidRDefault="00135D9A" w:rsidP="00135D9A">
      <w:pPr>
        <w:jc w:val="both"/>
        <w:rPr>
          <w:iCs/>
        </w:rPr>
      </w:pPr>
      <w:r w:rsidRPr="00AC3C63">
        <w:rPr>
          <w:iCs/>
        </w:rPr>
        <w:t>Käibemaksu mahaarvamise piirang sõiduautodelt seotud kuludelt on kõikidele ettevõtjatele võrdne. Eratarbimist maksustatakse sisendkäibemaksu maha arvamise piiranguga vastavalt sõiduki mitteettevõtluses kasutamise osatähtsusele. Ehk, kui sõidukit kasutatakse eranditult ainult riigi õigusabi osutamiseks, siis piirangut ei rakendata.</w:t>
      </w:r>
    </w:p>
    <w:p w:rsidR="00135D9A" w:rsidRDefault="00135D9A" w:rsidP="00135D9A">
      <w:pPr>
        <w:rPr>
          <w:rFonts w:ascii="Calibri" w:hAnsi="Calibri"/>
          <w:color w:val="1F497D"/>
          <w:sz w:val="22"/>
          <w:szCs w:val="22"/>
        </w:rPr>
      </w:pPr>
    </w:p>
    <w:p w:rsidR="00135D9A" w:rsidRPr="00E23ACA" w:rsidRDefault="00135D9A" w:rsidP="00135D9A">
      <w:pPr>
        <w:jc w:val="both"/>
        <w:rPr>
          <w:i/>
          <w:iCs/>
        </w:rPr>
      </w:pPr>
    </w:p>
    <w:p w:rsidR="00135D9A" w:rsidRPr="00E23ACA" w:rsidRDefault="00135D9A" w:rsidP="00135D9A">
      <w:pPr>
        <w:autoSpaceDE w:val="0"/>
        <w:autoSpaceDN w:val="0"/>
        <w:adjustRightInd w:val="0"/>
        <w:jc w:val="both"/>
        <w:rPr>
          <w:rFonts w:eastAsia="Calibri"/>
          <w:color w:val="000000"/>
        </w:rPr>
      </w:pPr>
      <w:r w:rsidRPr="00E23ACA">
        <w:rPr>
          <w:rFonts w:eastAsia="Calibri"/>
          <w:color w:val="000000"/>
        </w:rPr>
        <w:t>Juhatus</w:t>
      </w:r>
    </w:p>
    <w:p w:rsidR="00135D9A" w:rsidRPr="00E23ACA" w:rsidRDefault="00135D9A" w:rsidP="00135D9A">
      <w:pPr>
        <w:autoSpaceDE w:val="0"/>
        <w:autoSpaceDN w:val="0"/>
        <w:adjustRightInd w:val="0"/>
        <w:jc w:val="both"/>
        <w:rPr>
          <w:rFonts w:eastAsia="Calibri"/>
          <w:b/>
          <w:bCs/>
          <w:color w:val="000000"/>
        </w:rPr>
      </w:pPr>
    </w:p>
    <w:p w:rsidR="00135D9A" w:rsidRDefault="00135D9A" w:rsidP="00135D9A">
      <w:pPr>
        <w:autoSpaceDE w:val="0"/>
        <w:autoSpaceDN w:val="0"/>
        <w:adjustRightInd w:val="0"/>
        <w:jc w:val="both"/>
        <w:rPr>
          <w:rFonts w:eastAsia="Calibri"/>
          <w:b/>
          <w:bCs/>
          <w:color w:val="000000"/>
        </w:rPr>
      </w:pPr>
      <w:r w:rsidRPr="00E23ACA">
        <w:rPr>
          <w:rFonts w:eastAsia="Calibri"/>
          <w:b/>
          <w:bCs/>
          <w:color w:val="000000"/>
        </w:rPr>
        <w:t>O T S U S T A S:</w:t>
      </w:r>
    </w:p>
    <w:p w:rsidR="00135D9A" w:rsidRDefault="00135D9A" w:rsidP="00135D9A">
      <w:pPr>
        <w:autoSpaceDE w:val="0"/>
        <w:autoSpaceDN w:val="0"/>
        <w:adjustRightInd w:val="0"/>
        <w:jc w:val="both"/>
        <w:rPr>
          <w:rFonts w:eastAsia="Calibri"/>
          <w:b/>
          <w:bCs/>
          <w:color w:val="000000"/>
        </w:rPr>
      </w:pPr>
    </w:p>
    <w:p w:rsidR="00135D9A" w:rsidRPr="00E23ACA" w:rsidRDefault="00135D9A" w:rsidP="00135D9A">
      <w:pPr>
        <w:autoSpaceDE w:val="0"/>
        <w:autoSpaceDN w:val="0"/>
        <w:adjustRightInd w:val="0"/>
        <w:jc w:val="both"/>
        <w:rPr>
          <w:rFonts w:eastAsia="Calibri"/>
          <w:b/>
          <w:bCs/>
          <w:color w:val="000000"/>
        </w:rPr>
      </w:pPr>
      <w:r>
        <w:rPr>
          <w:rFonts w:eastAsia="Calibri"/>
          <w:b/>
          <w:bCs/>
          <w:color w:val="000000"/>
        </w:rPr>
        <w:t xml:space="preserve">Teavitada eeltoodud seisukohast küsimuse esitanud advokaati. </w:t>
      </w:r>
    </w:p>
    <w:p w:rsidR="00F26D3D" w:rsidRDefault="00F26D3D"/>
    <w:sectPr w:rsidR="00F26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D9A"/>
    <w:rsid w:val="000E6C11"/>
    <w:rsid w:val="00135D9A"/>
    <w:rsid w:val="00F2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F8594"/>
  <w15:chartTrackingRefBased/>
  <w15:docId w15:val="{7562CC68-0CE7-422B-BA92-6EC66B19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135D9A"/>
    <w:pPr>
      <w:spacing w:after="0" w:line="240" w:lineRule="auto"/>
    </w:pPr>
    <w:rPr>
      <w:rFonts w:ascii="Times New Roman" w:eastAsia="Times New Roman" w:hAnsi="Times New Roman" w:cs="Times New Roman"/>
      <w:sz w:val="24"/>
      <w:szCs w:val="24"/>
      <w:lang w:val="et-EE"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465</Words>
  <Characters>2702</Characters>
  <Application>Microsoft Office Word</Application>
  <DocSecurity>0</DocSecurity>
  <Lines>22</Lines>
  <Paragraphs>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Eesti Advo</dc:creator>
  <cp:keywords/>
  <dc:description/>
  <cp:lastModifiedBy>Jane Suur</cp:lastModifiedBy>
  <cp:revision>2</cp:revision>
  <dcterms:created xsi:type="dcterms:W3CDTF">2019-04-08T07:22:00Z</dcterms:created>
  <dcterms:modified xsi:type="dcterms:W3CDTF">2023-10-03T09:58:00Z</dcterms:modified>
</cp:coreProperties>
</file>