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A3F7" w14:textId="77777777" w:rsidR="00962715" w:rsidRPr="00A323D2" w:rsidRDefault="00962715" w:rsidP="00962715">
      <w:pPr>
        <w:tabs>
          <w:tab w:val="left" w:pos="2410"/>
        </w:tabs>
        <w:jc w:val="both"/>
        <w:rPr>
          <w:noProof/>
          <w:color w:val="000000"/>
        </w:rPr>
      </w:pPr>
      <w:r w:rsidRPr="00A323D2">
        <w:rPr>
          <w:noProof/>
          <w:color w:val="000000"/>
        </w:rPr>
        <w:t>EESTI ADVOKATUURI JUHATUS</w:t>
      </w:r>
    </w:p>
    <w:p w14:paraId="43060BCE" w14:textId="77777777" w:rsidR="00962715" w:rsidRPr="00A323D2" w:rsidRDefault="00962715" w:rsidP="00962715">
      <w:pPr>
        <w:tabs>
          <w:tab w:val="center" w:pos="4513"/>
          <w:tab w:val="right" w:pos="8666"/>
        </w:tabs>
        <w:jc w:val="both"/>
        <w:rPr>
          <w:noProof/>
          <w:color w:val="000000"/>
        </w:rPr>
      </w:pPr>
      <w:r w:rsidRPr="00A323D2">
        <w:rPr>
          <w:noProof/>
          <w:color w:val="000000"/>
        </w:rPr>
        <w:t>ISTUNGI PROTOKOLL</w:t>
      </w:r>
    </w:p>
    <w:p w14:paraId="59FFA5D7" w14:textId="77777777" w:rsidR="00962715" w:rsidRPr="00A323D2" w:rsidRDefault="00962715" w:rsidP="00962715">
      <w:pPr>
        <w:tabs>
          <w:tab w:val="left" w:pos="5340"/>
        </w:tabs>
        <w:jc w:val="both"/>
        <w:rPr>
          <w:noProof/>
          <w:color w:val="000000"/>
        </w:rPr>
      </w:pPr>
      <w:r>
        <w:rPr>
          <w:noProof/>
          <w:color w:val="000000"/>
        </w:rPr>
        <w:t>22</w:t>
      </w:r>
      <w:r w:rsidRPr="00A323D2">
        <w:rPr>
          <w:noProof/>
          <w:color w:val="000000"/>
        </w:rPr>
        <w:t xml:space="preserve">. </w:t>
      </w:r>
      <w:r>
        <w:rPr>
          <w:noProof/>
          <w:color w:val="000000"/>
        </w:rPr>
        <w:t>aprill</w:t>
      </w:r>
      <w:r w:rsidRPr="00A323D2">
        <w:rPr>
          <w:noProof/>
          <w:color w:val="000000"/>
        </w:rPr>
        <w:t xml:space="preserve"> 2014. a nr </w:t>
      </w:r>
      <w:r>
        <w:rPr>
          <w:noProof/>
          <w:color w:val="000000"/>
        </w:rPr>
        <w:t>9</w:t>
      </w:r>
      <w:r w:rsidRPr="00A323D2">
        <w:rPr>
          <w:noProof/>
          <w:color w:val="000000"/>
        </w:rPr>
        <w:tab/>
      </w:r>
    </w:p>
    <w:p w14:paraId="3F8A184D" w14:textId="77777777" w:rsidR="00962715" w:rsidRPr="00A323D2" w:rsidRDefault="00962715" w:rsidP="00962715">
      <w:pPr>
        <w:tabs>
          <w:tab w:val="center" w:pos="4513"/>
          <w:tab w:val="right" w:pos="8666"/>
        </w:tabs>
        <w:jc w:val="both"/>
        <w:rPr>
          <w:noProof/>
          <w:color w:val="000000"/>
        </w:rPr>
      </w:pPr>
      <w:r w:rsidRPr="00A323D2">
        <w:rPr>
          <w:noProof/>
          <w:color w:val="000000"/>
        </w:rPr>
        <w:t>Tallinn</w:t>
      </w:r>
    </w:p>
    <w:p w14:paraId="2FD30ABB" w14:textId="77777777" w:rsidR="00962715" w:rsidRDefault="00962715" w:rsidP="00962715">
      <w:pPr>
        <w:jc w:val="both"/>
        <w:rPr>
          <w:b/>
          <w:bCs/>
          <w:color w:val="000000"/>
        </w:rPr>
      </w:pPr>
    </w:p>
    <w:p w14:paraId="4E4F69B8" w14:textId="77777777" w:rsidR="00962715" w:rsidRDefault="00962715" w:rsidP="00962715">
      <w:pPr>
        <w:jc w:val="both"/>
        <w:rPr>
          <w:b/>
          <w:bCs/>
          <w:color w:val="000000"/>
        </w:rPr>
      </w:pPr>
    </w:p>
    <w:p w14:paraId="5797A41D" w14:textId="77777777" w:rsidR="00962715" w:rsidRDefault="00962715" w:rsidP="00962715">
      <w:pPr>
        <w:jc w:val="both"/>
        <w:rPr>
          <w:b/>
          <w:bCs/>
          <w:color w:val="000000"/>
        </w:rPr>
      </w:pPr>
    </w:p>
    <w:p w14:paraId="76B84C5E" w14:textId="77777777" w:rsidR="00982A4E" w:rsidRDefault="00982A4E" w:rsidP="00962715">
      <w:pPr>
        <w:jc w:val="both"/>
        <w:rPr>
          <w:b/>
          <w:bCs/>
          <w:color w:val="000000"/>
        </w:rPr>
      </w:pPr>
    </w:p>
    <w:p w14:paraId="6F7FD86E" w14:textId="0D22FCC8" w:rsidR="00962715" w:rsidRDefault="00982A4E" w:rsidP="00962715">
      <w:pPr>
        <w:rPr>
          <w:b/>
          <w:color w:val="000000"/>
        </w:rPr>
      </w:pPr>
      <w:r>
        <w:rPr>
          <w:b/>
          <w:color w:val="000000"/>
        </w:rPr>
        <w:t>Vandeadvokaadipoolne selgituste andmine Riigikogu uurimiskomisjonis</w:t>
      </w:r>
    </w:p>
    <w:p w14:paraId="169EE362" w14:textId="77777777" w:rsidR="00962715" w:rsidRDefault="00962715" w:rsidP="00962715">
      <w:pPr>
        <w:rPr>
          <w:b/>
          <w:color w:val="000000"/>
        </w:rPr>
      </w:pPr>
    </w:p>
    <w:p w14:paraId="6885DDF9" w14:textId="77777777" w:rsidR="00962715" w:rsidRPr="00120E0B" w:rsidRDefault="00962715" w:rsidP="00962715">
      <w:pPr>
        <w:jc w:val="both"/>
        <w:rPr>
          <w:color w:val="000000"/>
        </w:rPr>
      </w:pPr>
      <w:r>
        <w:rPr>
          <w:color w:val="000000"/>
        </w:rPr>
        <w:t>Vandea</w:t>
      </w:r>
      <w:r w:rsidRPr="00120E0B">
        <w:rPr>
          <w:color w:val="000000"/>
        </w:rPr>
        <w:t xml:space="preserve">dvokaat </w:t>
      </w:r>
      <w:r>
        <w:rPr>
          <w:color w:val="000000"/>
        </w:rPr>
        <w:t xml:space="preserve">palus </w:t>
      </w:r>
      <w:r w:rsidRPr="00120E0B">
        <w:rPr>
          <w:color w:val="000000"/>
        </w:rPr>
        <w:t>Eesti Advokatuuri juhatuse seisukoht</w:t>
      </w:r>
      <w:r>
        <w:rPr>
          <w:color w:val="000000"/>
        </w:rPr>
        <w:t>a</w:t>
      </w:r>
      <w:r w:rsidRPr="00120E0B">
        <w:rPr>
          <w:color w:val="000000"/>
        </w:rPr>
        <w:t xml:space="preserve"> alljärgnevates küsimustes </w:t>
      </w:r>
      <w:r>
        <w:rPr>
          <w:color w:val="000000"/>
        </w:rPr>
        <w:t>s</w:t>
      </w:r>
      <w:r w:rsidRPr="00120E0B">
        <w:rPr>
          <w:color w:val="000000"/>
        </w:rPr>
        <w:t>eoses vandeadvokaadi kutsumisega tunnistuste andmi</w:t>
      </w:r>
      <w:r>
        <w:rPr>
          <w:color w:val="000000"/>
        </w:rPr>
        <w:t>seks Riigikogu uurimiskomisjoni:</w:t>
      </w:r>
    </w:p>
    <w:p w14:paraId="72A17C36" w14:textId="77777777" w:rsidR="00962715" w:rsidRPr="00120E0B" w:rsidRDefault="00962715" w:rsidP="00962715">
      <w:pPr>
        <w:jc w:val="both"/>
        <w:rPr>
          <w:color w:val="000000"/>
        </w:rPr>
      </w:pPr>
      <w:r w:rsidRPr="00120E0B">
        <w:rPr>
          <w:color w:val="000000"/>
        </w:rPr>
        <w:t xml:space="preserve">(1) Kas Advokatuuri juhatus on seisukohal, et seaduses - RKKS § 22 sätestatud uurimiskomisjoni pädevus on antud juhul piisav kuulamaks </w:t>
      </w:r>
      <w:r>
        <w:rPr>
          <w:color w:val="000000"/>
        </w:rPr>
        <w:t>üle tunnistajana vandeadvokaati</w:t>
      </w:r>
      <w:r w:rsidRPr="00120E0B">
        <w:rPr>
          <w:color w:val="000000"/>
        </w:rPr>
        <w:t>?</w:t>
      </w:r>
    </w:p>
    <w:p w14:paraId="38270CE4" w14:textId="77777777" w:rsidR="00962715" w:rsidRPr="00120E0B" w:rsidRDefault="00962715" w:rsidP="00962715">
      <w:pPr>
        <w:jc w:val="both"/>
        <w:rPr>
          <w:color w:val="000000"/>
        </w:rPr>
      </w:pPr>
      <w:r w:rsidRPr="00120E0B">
        <w:rPr>
          <w:color w:val="000000"/>
        </w:rPr>
        <w:t>(2) Kui jah, siis millistes piirides seda teha võib, eeldades, et klient on vabastanud advokaadi kutsesaladuse hoidmise koh</w:t>
      </w:r>
      <w:r>
        <w:rPr>
          <w:color w:val="000000"/>
        </w:rPr>
        <w:t xml:space="preserve">ustusest vastavalt AdvS § 45 lg </w:t>
      </w:r>
      <w:r w:rsidRPr="00120E0B">
        <w:rPr>
          <w:color w:val="000000"/>
        </w:rPr>
        <w:t>2 ?</w:t>
      </w:r>
    </w:p>
    <w:p w14:paraId="4D26689C" w14:textId="77777777" w:rsidR="00962715" w:rsidRPr="00120E0B" w:rsidRDefault="00962715" w:rsidP="00962715">
      <w:pPr>
        <w:jc w:val="both"/>
        <w:rPr>
          <w:color w:val="000000"/>
        </w:rPr>
      </w:pPr>
      <w:r w:rsidRPr="00120E0B">
        <w:rPr>
          <w:color w:val="000000"/>
        </w:rPr>
        <w:t>(3) Kas kutsesaladuse hoidmise kohus</w:t>
      </w:r>
      <w:r>
        <w:rPr>
          <w:color w:val="000000"/>
        </w:rPr>
        <w:t xml:space="preserve">tusest vabastamine AdvS § 45 lg </w:t>
      </w:r>
      <w:r w:rsidRPr="00120E0B">
        <w:rPr>
          <w:color w:val="000000"/>
        </w:rPr>
        <w:t>2 alusel loob automaatselt seadusliku</w:t>
      </w:r>
      <w:r>
        <w:rPr>
          <w:color w:val="000000"/>
        </w:rPr>
        <w:t xml:space="preserve"> aluse rikkumaks AdvS §-s 43 lg </w:t>
      </w:r>
      <w:r w:rsidRPr="00120E0B">
        <w:rPr>
          <w:color w:val="000000"/>
        </w:rPr>
        <w:t>2 sätestatud keeldu kuulata üle advokaati tunnistajana asjaolude kohta, mis on talle saanud teat</w:t>
      </w:r>
      <w:r>
        <w:rPr>
          <w:color w:val="000000"/>
        </w:rPr>
        <w:t>avaks seoses õigusabi andmisega</w:t>
      </w:r>
      <w:r w:rsidRPr="00120E0B">
        <w:rPr>
          <w:color w:val="000000"/>
        </w:rPr>
        <w:t>?</w:t>
      </w:r>
    </w:p>
    <w:p w14:paraId="55880415" w14:textId="77777777" w:rsidR="00962715" w:rsidRPr="00120E0B" w:rsidRDefault="00962715" w:rsidP="00962715">
      <w:pPr>
        <w:jc w:val="both"/>
        <w:rPr>
          <w:color w:val="000000"/>
        </w:rPr>
      </w:pPr>
    </w:p>
    <w:p w14:paraId="39A45BB3" w14:textId="3B55AB01" w:rsidR="00EB0B0A" w:rsidRDefault="00962715" w:rsidP="00962715">
      <w:pPr>
        <w:jc w:val="both"/>
        <w:rPr>
          <w:color w:val="000000"/>
        </w:rPr>
      </w:pPr>
      <w:r>
        <w:rPr>
          <w:color w:val="000000"/>
        </w:rPr>
        <w:t>Juhatuse ülesandel kujundas e</w:t>
      </w:r>
      <w:r w:rsidRPr="00120E0B">
        <w:rPr>
          <w:color w:val="000000"/>
        </w:rPr>
        <w:t>etika- ja metoodikakomisjon</w:t>
      </w:r>
      <w:r>
        <w:rPr>
          <w:color w:val="000000"/>
        </w:rPr>
        <w:t xml:space="preserve"> </w:t>
      </w:r>
      <w:r w:rsidR="00EB0B0A">
        <w:rPr>
          <w:color w:val="000000"/>
        </w:rPr>
        <w:t xml:space="preserve">(EMK) </w:t>
      </w:r>
      <w:r>
        <w:rPr>
          <w:color w:val="000000"/>
        </w:rPr>
        <w:t>antud küsimustes seisukoha.</w:t>
      </w:r>
      <w:r w:rsidR="00EB0B0A">
        <w:rPr>
          <w:color w:val="000000"/>
        </w:rPr>
        <w:t xml:space="preserve"> </w:t>
      </w:r>
    </w:p>
    <w:p w14:paraId="5A31C721" w14:textId="61AB910F" w:rsidR="00EB0B0A" w:rsidRDefault="00EB0B0A" w:rsidP="00962715">
      <w:pPr>
        <w:jc w:val="both"/>
        <w:rPr>
          <w:color w:val="000000"/>
        </w:rPr>
      </w:pPr>
      <w:r>
        <w:rPr>
          <w:color w:val="000000"/>
        </w:rPr>
        <w:t>EMK märkis järgmist:</w:t>
      </w:r>
    </w:p>
    <w:p w14:paraId="378D053A" w14:textId="77777777" w:rsidR="00EB0B0A" w:rsidRDefault="00EB0B0A" w:rsidP="00EB0B0A">
      <w:pPr>
        <w:jc w:val="both"/>
        <w:rPr>
          <w:color w:val="000000"/>
        </w:rPr>
      </w:pPr>
    </w:p>
    <w:p w14:paraId="4EB30954" w14:textId="03761C0E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color w:val="000000"/>
        </w:rPr>
        <w:t>„</w:t>
      </w:r>
      <w:r>
        <w:rPr>
          <w:rFonts w:ascii="Times-Roman" w:eastAsiaTheme="minorHAnsi" w:hAnsi="Times-Roman" w:cs="Times-Roman"/>
          <w:lang w:eastAsia="en-US"/>
        </w:rPr>
        <w:t>Vandeadvokaat X on pöördunud juhatuse poole seoses Riigikogu uurimiskomisjoni pädevusega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küsitleda advokaati asjaolude kohta, mis on advokaadile saanud teatavaks seoses õigusabi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andmisega. Antud juhul on tegemist Riigikogu 12. märtsi 2013 otsusega moodustatud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uurimiskomisjoniga VEB Fondiga seonduvate asjaolude väljaselgitamiseks. Avaldamise nõusoleku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andjaks on SA VEB, kes on esitatud asjaolude kohaselt VEB fondi õigusjärglaseks. SA VEB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nõukogu on 24. märtsi 2011 otsusega otsustanud SA VEB lõpetamise, kuid SA VEB likvideerimist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pole lõpule viidud ja SA VEB on jätkuvalt mittetulundusühingute ja sihtasutuste registris.</w:t>
      </w:r>
      <w:r>
        <w:rPr>
          <w:rFonts w:ascii="Times-Roman" w:eastAsiaTheme="minorHAnsi" w:hAnsi="Times-Roman" w:cs="Times-Roman"/>
          <w:lang w:eastAsia="en-US"/>
        </w:rPr>
        <w:t xml:space="preserve"> </w:t>
      </w:r>
    </w:p>
    <w:p w14:paraId="66297A9E" w14:textId="4579C791" w:rsidR="00EB0B0A" w:rsidRDefault="00EB0B0A" w:rsidP="00EB0B0A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lang w:eastAsia="en-US"/>
        </w:rPr>
      </w:pPr>
    </w:p>
    <w:p w14:paraId="656CE823" w14:textId="3E665D47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Riigikogu kodu- ja töökorra seadus (edaspidi RKKTS) § 22 lg 1 p 3 ja lg 2 sätestavad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uurimiskomisjoni laiaulatusliku pädevuse koguda oma tööks vajalikke andmeid ja kutsuda sellel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eesmärgil komisjoni ette nii riigiteenistujaid kui muid isikuid. Riigikogu kodukorra seadus jõustus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17. märtsil 2003. Alates 14. juulist 2007 nimetati seadus ümber riigikogu kodu- ja töökorra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seaduseks. Paragrahv 22 oli juba RKKTS-i eelnõu (1222 SE) algtekstis ning on kehtinud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 xml:space="preserve">muutumatuna. Seletuskirjas on märgitud, et </w:t>
      </w:r>
      <w:r w:rsidRPr="00EB0B0A">
        <w:rPr>
          <w:rFonts w:ascii="Times-Roman" w:eastAsiaTheme="minorHAnsi" w:hAnsi="Times-Roman" w:cs="Times-Roman"/>
          <w:lang w:eastAsia="en-US"/>
        </w:rPr>
        <w:t>„</w:t>
      </w:r>
      <w:r w:rsidRPr="00EB0B0A">
        <w:rPr>
          <w:rFonts w:ascii="Times-Italic" w:eastAsiaTheme="minorHAnsi" w:hAnsi="Times-Italic" w:cs="Times-Italic"/>
          <w:lang w:eastAsia="en-US"/>
        </w:rPr>
        <w:t>Uurimiskomisjoni võib Riigikogu moodustada mõne</w:t>
      </w:r>
      <w:r w:rsidRPr="00EB0B0A">
        <w:rPr>
          <w:rFonts w:ascii="Times-Italic" w:eastAsiaTheme="minorHAnsi" w:hAnsi="Times-Italic" w:cs="Times-Italic"/>
          <w:lang w:eastAsia="en-US"/>
        </w:rPr>
        <w:t xml:space="preserve"> </w:t>
      </w:r>
      <w:r w:rsidRPr="00EB0B0A">
        <w:rPr>
          <w:rFonts w:ascii="Times-Italic" w:eastAsiaTheme="minorHAnsi" w:hAnsi="Times-Italic" w:cs="Times-Italic"/>
          <w:lang w:eastAsia="en-US"/>
        </w:rPr>
        <w:t>toimunud sündmuse asjaolude selgitamiseks. Uurimiskomisjoni peetakse parlamendiõiguse teoorias</w:t>
      </w:r>
      <w:r w:rsidRPr="00EB0B0A">
        <w:rPr>
          <w:rFonts w:ascii="Times-Italic" w:eastAsiaTheme="minorHAnsi" w:hAnsi="Times-Italic" w:cs="Times-Italic"/>
          <w:lang w:eastAsia="en-US"/>
        </w:rPr>
        <w:t xml:space="preserve"> </w:t>
      </w:r>
      <w:r w:rsidRPr="00EB0B0A">
        <w:rPr>
          <w:rFonts w:ascii="Times-Italic" w:eastAsiaTheme="minorHAnsi" w:hAnsi="Times-Italic" w:cs="Times-Italic"/>
          <w:lang w:eastAsia="en-US"/>
        </w:rPr>
        <w:t>üheks täidesaatva võimu üle teostatava parlamentaarse kontrolli instrumendiks. Selleks, et see</w:t>
      </w:r>
      <w:r w:rsidRPr="00EB0B0A">
        <w:rPr>
          <w:rFonts w:ascii="Times-Italic" w:eastAsiaTheme="minorHAnsi" w:hAnsi="Times-Italic" w:cs="Times-Italic"/>
          <w:lang w:eastAsia="en-US"/>
        </w:rPr>
        <w:t xml:space="preserve"> </w:t>
      </w:r>
      <w:r w:rsidRPr="00EB0B0A">
        <w:rPr>
          <w:rFonts w:ascii="Times-Italic" w:eastAsiaTheme="minorHAnsi" w:hAnsi="Times-Italic" w:cs="Times-Italic"/>
          <w:lang w:eastAsia="en-US"/>
        </w:rPr>
        <w:t>vahend oleks tõhus, nähakse uurimiskomisjoni jaoks ette suured õigused. Tal on muuhulgas õigus</w:t>
      </w:r>
      <w:r w:rsidRPr="00EB0B0A">
        <w:rPr>
          <w:rFonts w:ascii="Times-Italic" w:eastAsiaTheme="minorHAnsi" w:hAnsi="Times-Italic" w:cs="Times-Italic"/>
          <w:lang w:eastAsia="en-US"/>
        </w:rPr>
        <w:t xml:space="preserve"> </w:t>
      </w:r>
      <w:r w:rsidRPr="00EB0B0A">
        <w:rPr>
          <w:rFonts w:ascii="Times-Italic" w:eastAsiaTheme="minorHAnsi" w:hAnsi="Times-Italic" w:cs="Times-Italic"/>
          <w:lang w:eastAsia="en-US"/>
        </w:rPr>
        <w:t>kutsuda komisjoni ette kolmandaid isikuid selgituste andmiseks ja küsimustele vastamiseks.</w:t>
      </w:r>
      <w:r w:rsidRPr="00EB0B0A">
        <w:rPr>
          <w:rFonts w:ascii="Times-Italic" w:eastAsiaTheme="minorHAnsi" w:hAnsi="Times-Italic" w:cs="Times-Italic"/>
          <w:lang w:eastAsia="en-US"/>
        </w:rPr>
        <w:t xml:space="preserve"> </w:t>
      </w:r>
      <w:r w:rsidRPr="00EB0B0A">
        <w:rPr>
          <w:rFonts w:ascii="Times-Italic" w:eastAsiaTheme="minorHAnsi" w:hAnsi="Times-Italic" w:cs="Times-Italic"/>
          <w:lang w:eastAsia="en-US"/>
        </w:rPr>
        <w:t>Komisjoni töö takistamise eest kannab isik vastutust (vt § 23)</w:t>
      </w:r>
      <w:r w:rsidRPr="00EB0B0A">
        <w:rPr>
          <w:rFonts w:ascii="Times-Roman" w:eastAsiaTheme="minorHAnsi" w:hAnsi="Times-Roman" w:cs="Times-Roman"/>
          <w:lang w:eastAsia="en-US"/>
        </w:rPr>
        <w:t>“.</w:t>
      </w:r>
      <w:r>
        <w:rPr>
          <w:rFonts w:ascii="Times-Roman" w:eastAsiaTheme="minorHAnsi" w:hAnsi="Times-Roman" w:cs="Times-Roman"/>
          <w:lang w:eastAsia="en-US"/>
        </w:rPr>
        <w:t xml:space="preserve"> Kuivõrd VEB fond oli moodustatud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Eesti Panga juurde, ei ole üheselt ilmne moodustatud uurimiskomisjonil vajaliku pädevuse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olemasolu ja selle ulatus VEB fondiga seotud asjaolude uurimisel, sest ei ole üheselt ilmne, kas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 xml:space="preserve">Eesti Panka ja tema juurde moodustatud asutusi ja isikuid saab alati käsitleda </w:t>
      </w:r>
      <w:r>
        <w:rPr>
          <w:rFonts w:ascii="Times-Roman" w:eastAsiaTheme="minorHAnsi" w:hAnsi="Times-Roman" w:cs="Times-Roman"/>
          <w:lang w:eastAsia="en-US"/>
        </w:rPr>
        <w:lastRenderedPageBreak/>
        <w:t>täidesaatva võimu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osana.</w:t>
      </w:r>
      <w:r>
        <w:rPr>
          <w:rFonts w:ascii="Times-Roman" w:eastAsiaTheme="minorHAnsi" w:hAnsi="Times-Roman" w:cs="Times-Roman"/>
          <w:lang w:eastAsia="en-US"/>
        </w:rPr>
        <w:t xml:space="preserve"> K</w:t>
      </w:r>
      <w:r>
        <w:rPr>
          <w:rFonts w:ascii="Times-Roman" w:eastAsiaTheme="minorHAnsi" w:hAnsi="Times-Roman" w:cs="Times-Roman"/>
          <w:lang w:eastAsia="en-US"/>
        </w:rPr>
        <w:t>äesolevas seisukohas lähtutakse edaspidi eeldusest, et uurimiskomisjonil on vajalik pädevus.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EMK pidas vajalikuks viidatud probleemile tähelepanu juhtida, kuna see seondub EMK hinnangul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ka ütluste andmiseks väljakutsutud advokaadi hoolsuskohustusega hinnata teda väljakutsunud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komisjoni või asutuse pädevust ning arvestada sellega nii oma kliendi nõustamisel kui enda otsuste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tegemisel kutse peale ilmumise ja ütluste andmise osas.</w:t>
      </w:r>
    </w:p>
    <w:p w14:paraId="367F827A" w14:textId="77777777" w:rsidR="00EB0B0A" w:rsidRDefault="00EB0B0A" w:rsidP="00EB0B0A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lang w:eastAsia="en-US"/>
        </w:rPr>
      </w:pPr>
    </w:p>
    <w:p w14:paraId="58498EB9" w14:textId="77777777" w:rsidR="00400BB6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Asjakohased advokaadi tagatised ülekuulamise keelu ja ütlustest andmisest keeldumise kohustuse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näol kehtestavad AdvS § 43 ja § 45. Kutsesaladusest hoidmisest on advokaat vabastatud vaid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 xml:space="preserve">seadusest otseselt ettenähtud juhtudel, </w:t>
      </w:r>
      <w:proofErr w:type="spellStart"/>
      <w:r>
        <w:rPr>
          <w:rFonts w:ascii="Times-Roman" w:eastAsiaTheme="minorHAnsi" w:hAnsi="Times-Roman" w:cs="Times-Roman"/>
          <w:lang w:eastAsia="en-US"/>
        </w:rPr>
        <w:t>m.h</w:t>
      </w:r>
      <w:proofErr w:type="spellEnd"/>
      <w:r>
        <w:rPr>
          <w:rFonts w:ascii="Times-Roman" w:eastAsiaTheme="minorHAnsi" w:hAnsi="Times-Roman" w:cs="Times-Roman"/>
          <w:lang w:eastAsia="en-US"/>
        </w:rPr>
        <w:t xml:space="preserve"> kliendi kirjalikul nõusolekul (AdvS 45 lg 2).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Kutsesaladuse lubamatu avaldamine on karistatav kuriteona (</w:t>
      </w:r>
      <w:proofErr w:type="spellStart"/>
      <w:r>
        <w:rPr>
          <w:rFonts w:ascii="Times-Roman" w:eastAsiaTheme="minorHAnsi" w:hAnsi="Times-Roman" w:cs="Times-Roman"/>
          <w:lang w:eastAsia="en-US"/>
        </w:rPr>
        <w:t>KarS</w:t>
      </w:r>
      <w:proofErr w:type="spellEnd"/>
      <w:r>
        <w:rPr>
          <w:rFonts w:ascii="Times-Roman" w:eastAsiaTheme="minorHAnsi" w:hAnsi="Times-Roman" w:cs="Times-Roman"/>
          <w:lang w:eastAsia="en-US"/>
        </w:rPr>
        <w:t xml:space="preserve"> § 157).</w:t>
      </w:r>
      <w:r>
        <w:rPr>
          <w:rFonts w:ascii="Times-Roman" w:eastAsiaTheme="minorHAnsi" w:hAnsi="Times-Roman" w:cs="Times-Roman"/>
          <w:lang w:eastAsia="en-US"/>
        </w:rPr>
        <w:t xml:space="preserve"> </w:t>
      </w:r>
    </w:p>
    <w:p w14:paraId="1003A53C" w14:textId="77777777" w:rsidR="00400BB6" w:rsidRDefault="00400BB6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046E7EA5" w14:textId="1763FA7E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Kliendi ja advokaadi vahelist kutsesaladust on oma praktikas tunnustanud nii Euroopa Inimõiguste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Kohus kui Euroopa Kohus</w:t>
      </w:r>
      <w:r w:rsidR="00400BB6">
        <w:rPr>
          <w:rStyle w:val="Allmrkuseviide"/>
          <w:rFonts w:ascii="Times-Roman" w:eastAsiaTheme="minorHAnsi" w:hAnsi="Times-Roman" w:cs="Times-Roman"/>
          <w:lang w:eastAsia="en-US"/>
        </w:rPr>
        <w:footnoteReference w:id="1"/>
      </w:r>
      <w:r>
        <w:rPr>
          <w:rFonts w:ascii="Times-Roman" w:eastAsiaTheme="minorHAnsi" w:hAnsi="Times-Roman" w:cs="Times-Roman"/>
          <w:lang w:eastAsia="en-US"/>
        </w:rPr>
        <w:t>. Euroopa inimõiguste ja põhivabaduste kaitse konventsiooni osalisriigid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tunnistasid kutsesaladust Euroopa Nõukogu Ministrite Komitee poolt vastu võetud soovituses (nr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R(2000)21) 25. oktoobrist 2000. Kutsesaladust tunnustatakse ka mitmetes Euroopa Liidu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direktiivides, sealhulgas rahapesu tõkestamise direktiivis (2005/60/EÜ) ja direktiivis elektroonilise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kaubanduse kohta (2000/31/EÜ).</w:t>
      </w:r>
    </w:p>
    <w:p w14:paraId="07DB1564" w14:textId="77777777" w:rsidR="00400BB6" w:rsidRDefault="00400BB6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565578FB" w14:textId="77777777" w:rsidR="00982E90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16"/>
          <w:szCs w:val="16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Kutsesaladus on oluline osa õiglasest kohtupidamisest, mida garanteerib Euroopa inimõiguste</w:t>
      </w:r>
      <w:r w:rsidR="00400BB6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konventsiooni ja põhivabaduste kaitse artikkel 6</w:t>
      </w:r>
      <w:r w:rsidR="00400BB6">
        <w:rPr>
          <w:rFonts w:ascii="Times-Roman" w:eastAsiaTheme="minorHAnsi" w:hAnsi="Times-Roman" w:cs="Times-Roman"/>
          <w:lang w:eastAsia="en-US"/>
        </w:rPr>
        <w:t>.</w:t>
      </w:r>
      <w:r w:rsidR="00400BB6">
        <w:rPr>
          <w:rStyle w:val="Allmrkuseviide"/>
          <w:rFonts w:ascii="Times-Roman" w:eastAsiaTheme="minorHAnsi" w:hAnsi="Times-Roman" w:cs="Times-Roman"/>
          <w:lang w:eastAsia="en-US"/>
        </w:rPr>
        <w:footnoteReference w:id="2"/>
      </w:r>
      <w:r>
        <w:rPr>
          <w:rFonts w:ascii="Times-Roman" w:eastAsiaTheme="minorHAnsi" w:hAnsi="Times-Roman" w:cs="Times-Roman"/>
          <w:lang w:eastAsia="en-US"/>
        </w:rPr>
        <w:t xml:space="preserve"> Täiendav alus kutsesaladusele on leitav ka</w:t>
      </w:r>
      <w:r w:rsidR="00400BB6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konventsiooni artiklist 8, mis sätestab õiguse austusele era- ja perekonnaelu vastu.</w:t>
      </w:r>
      <w:r w:rsidR="00400BB6">
        <w:rPr>
          <w:rStyle w:val="Allmrkuseviide"/>
          <w:rFonts w:ascii="Times-Roman" w:eastAsiaTheme="minorHAnsi" w:hAnsi="Times-Roman" w:cs="Times-Roman"/>
          <w:lang w:eastAsia="en-US"/>
        </w:rPr>
        <w:footnoteReference w:id="3"/>
      </w:r>
      <w:r>
        <w:rPr>
          <w:rFonts w:ascii="Times-Roman" w:eastAsiaTheme="minorHAnsi" w:hAnsi="Times-Roman" w:cs="Times-Roman"/>
          <w:lang w:eastAsia="en-US"/>
        </w:rPr>
        <w:t xml:space="preserve"> Euroopa</w:t>
      </w:r>
      <w:r w:rsidR="00400BB6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Inimõiguste Kohus on kinnitanud, et tegemist on piisava alusega kutsesaladuse jaoks.</w:t>
      </w:r>
      <w:r w:rsidR="000742D4">
        <w:rPr>
          <w:rStyle w:val="Allmrkuseviide"/>
          <w:rFonts w:ascii="Times-Roman" w:eastAsiaTheme="minorHAnsi" w:hAnsi="Times-Roman" w:cs="Times-Roman"/>
          <w:lang w:eastAsia="en-US"/>
        </w:rPr>
        <w:footnoteReference w:id="4"/>
      </w:r>
      <w:r w:rsidR="000742D4">
        <w:rPr>
          <w:rFonts w:ascii="Times-Roman" w:eastAsiaTheme="minorHAnsi" w:hAnsi="Times-Roman" w:cs="Times-Roman"/>
          <w:sz w:val="16"/>
          <w:szCs w:val="16"/>
          <w:lang w:eastAsia="en-US"/>
        </w:rPr>
        <w:t xml:space="preserve"> </w:t>
      </w:r>
    </w:p>
    <w:p w14:paraId="65EB1D66" w14:textId="77777777" w:rsidR="00982E90" w:rsidRDefault="00982E90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16"/>
          <w:szCs w:val="16"/>
          <w:lang w:eastAsia="en-US"/>
        </w:rPr>
      </w:pPr>
    </w:p>
    <w:p w14:paraId="51BF3E58" w14:textId="280F16D1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Kutsesaladuse hoidmise kohustus võib sattuda konflikti avaliku huviga. Euroopa Inimõiguste</w:t>
      </w:r>
      <w:r w:rsidR="00400BB6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Kohus on märkinud, et sellistes olukordades peab otsima tasakaalu ning mistahes piirangud</w:t>
      </w:r>
      <w:r w:rsidR="00761E65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kutsesaladuse hoidmise kohustusele peavad olema rangelt vajalikud olulisema avaliku huvi</w:t>
      </w:r>
      <w:r w:rsidR="00761E65">
        <w:rPr>
          <w:rFonts w:ascii="Times-Roman" w:eastAsiaTheme="minorHAnsi" w:hAnsi="Times-Roman" w:cs="Times-Roman"/>
          <w:lang w:eastAsia="en-US"/>
        </w:rPr>
        <w:t xml:space="preserve"> k</w:t>
      </w:r>
      <w:r>
        <w:rPr>
          <w:rFonts w:ascii="Times-Roman" w:eastAsiaTheme="minorHAnsi" w:hAnsi="Times-Roman" w:cs="Times-Roman"/>
          <w:lang w:eastAsia="en-US"/>
        </w:rPr>
        <w:t>aitseks. Selliseks olukorraks saaks pidada kliendi poolt advokaadi teavitamist sellest, et teist isikut</w:t>
      </w:r>
      <w:r w:rsidR="00761E65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ähvardab möödapääsmatu oht. Selline oht peab olema ilmne ning kutsesaladuse avalikustamine</w:t>
      </w:r>
      <w:r w:rsidR="00761E65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peab olema ainsaks ohu vältimise vahendiks. Advokatuuri eetikakoodeksi § 5 lg 7 sätestab</w:t>
      </w:r>
      <w:r w:rsidR="00761E65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 xml:space="preserve">advokaadile selge keelu </w:t>
      </w:r>
      <w:r w:rsidRPr="00761E65">
        <w:rPr>
          <w:rFonts w:ascii="Times-Roman" w:eastAsiaTheme="minorHAnsi" w:hAnsi="Times-Roman" w:cs="Times-Roman"/>
          <w:lang w:eastAsia="en-US"/>
        </w:rPr>
        <w:t>„</w:t>
      </w:r>
      <w:r w:rsidRPr="00761E65">
        <w:rPr>
          <w:rFonts w:ascii="Times-Italic" w:eastAsiaTheme="minorHAnsi" w:hAnsi="Times-Italic" w:cs="Times-Italic"/>
          <w:lang w:eastAsia="en-US"/>
        </w:rPr>
        <w:t>Konfidentsiaalsuskohustuse rikkumist ei saa õigustada avaliku huviga ega</w:t>
      </w:r>
      <w:r w:rsidR="00761E65" w:rsidRPr="00761E65">
        <w:rPr>
          <w:rFonts w:ascii="Times-Italic" w:eastAsiaTheme="minorHAnsi" w:hAnsi="Times-Italic" w:cs="Times-Italic"/>
          <w:lang w:eastAsia="en-US"/>
        </w:rPr>
        <w:t xml:space="preserve"> </w:t>
      </w:r>
      <w:r w:rsidRPr="00761E65">
        <w:rPr>
          <w:rFonts w:ascii="Times-Italic" w:eastAsiaTheme="minorHAnsi" w:hAnsi="Times-Italic" w:cs="Times-Italic"/>
          <w:lang w:eastAsia="en-US"/>
        </w:rPr>
        <w:t>sellega, et see võimaldaks kliendi huve paremini kaitsta</w:t>
      </w:r>
      <w:r w:rsidRPr="00761E65">
        <w:rPr>
          <w:rFonts w:ascii="Times-Roman" w:eastAsiaTheme="minorHAnsi" w:hAnsi="Times-Roman" w:cs="Times-Roman"/>
          <w:lang w:eastAsia="en-US"/>
        </w:rPr>
        <w:t>“, ainsa erisusena lubab AdvS § 45 lg</w:t>
      </w:r>
      <w:r>
        <w:rPr>
          <w:rFonts w:ascii="Times-Roman" w:eastAsiaTheme="minorHAnsi" w:hAnsi="Times-Roman" w:cs="Times-Roman"/>
          <w:lang w:eastAsia="en-US"/>
        </w:rPr>
        <w:t xml:space="preserve"> 5</w:t>
      </w:r>
      <w:r w:rsidR="00761E65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esitada advokaadil esimese astme kuriteo ärahoidmiseks halduskohtu esimehele või tema määratud</w:t>
      </w:r>
      <w:r w:rsidR="00761E65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sama kohtu halduskohtunikule põhjendatud kirjaliku taotluse kutsesaladuse hoidmise kohustusest</w:t>
      </w:r>
      <w:r w:rsidR="00761E65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vabastamiseks.</w:t>
      </w:r>
    </w:p>
    <w:p w14:paraId="0E8997F0" w14:textId="77777777" w:rsidR="00982E90" w:rsidRDefault="00982E90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436547DF" w14:textId="23FFF5A2" w:rsidR="00EB0B0A" w:rsidRDefault="00EB0B0A" w:rsidP="00EB0B0A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lang w:eastAsia="en-US"/>
        </w:rPr>
      </w:pPr>
      <w:r>
        <w:rPr>
          <w:rFonts w:ascii="Times-Bold" w:eastAsiaTheme="minorHAnsi" w:hAnsi="Times-Bold" w:cs="Times-Bold"/>
          <w:b/>
          <w:bCs/>
          <w:lang w:eastAsia="en-US"/>
        </w:rPr>
        <w:t>Eelneva põhjal võib asuda seisukohale, et tulenevalt Euroopa inimõiguste ja põhivabaduste</w:t>
      </w:r>
      <w:r w:rsidR="00982E90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kaitse konventsioonist ei ole advokaat, keda klient pole vabastanud kutsesaladuse hoidmise</w:t>
      </w:r>
      <w:r w:rsidR="00982E90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kohustusest, õigustatud avaldama õigusteenuse osutamise käigus teatavaks saanud teavet, v.a</w:t>
      </w:r>
      <w:r w:rsidR="00982E90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pärast AdvS § 45 lg 5 sätestatud loa saamist, mida tuleb pidada olulisema avaliku huvi</w:t>
      </w:r>
      <w:r w:rsidR="00982E90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olemasolu juhtumiks. AdvS § 45 lg 1 on erisätteks RKKTS § 22 lg 1 p 3 ja lg 2 suhtes ning</w:t>
      </w:r>
      <w:r w:rsidR="00982E90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viidatud sätted ei anna Riigikogu uurimiskomisjonile õigust advokaati üle kuulata ilma</w:t>
      </w:r>
      <w:r w:rsidR="00982E90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kliendi vastava nõusolekuta.</w:t>
      </w:r>
    </w:p>
    <w:p w14:paraId="5CC23052" w14:textId="77777777" w:rsidR="00982E90" w:rsidRDefault="00982E90" w:rsidP="00EB0B0A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lang w:eastAsia="en-US"/>
        </w:rPr>
      </w:pPr>
    </w:p>
    <w:p w14:paraId="34C1F4D0" w14:textId="457409D3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EMK rõhutab siinkohal, et kliendi nõusoleku puudumine tähendab küll keeldu ütlusi anda, kuid ei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vabasta automaatselt kohustusest ilmuda vastavalt kutsele kui vastav kohustus tuleneb seadusest.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Sellises olukorras on advokaat kohustatud kutse peale ilmuma ning selgitama ütluste andmisest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keeldumise alust.</w:t>
      </w:r>
    </w:p>
    <w:p w14:paraId="0FD9AC41" w14:textId="0FA9C8CF" w:rsidR="00EB0B0A" w:rsidRDefault="00EB0B0A" w:rsidP="00EB0B0A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lang w:eastAsia="en-US"/>
        </w:rPr>
      </w:pPr>
    </w:p>
    <w:p w14:paraId="287004D0" w14:textId="0146E325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AdvS § 45 lg 2 annab kliendile või tema õigusjärglasele õiguse vabastada advokaat kutsesaladuse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hoidmise kohustusest oma kirjaliku nõusolekuga. Käesoleva arvamuse andmise raames ei ole eraldi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hinnatud, kas SA VEB on VEB fondi õigusjärglane, arvamuse andmisel on lähtutud eeldusest, et see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on nii.</w:t>
      </w:r>
    </w:p>
    <w:p w14:paraId="5AAB19E1" w14:textId="77777777" w:rsidR="00982E90" w:rsidRDefault="00982E90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144BB15E" w14:textId="1F833BCB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Kuigi RKKTS § 22 ei sätesta „teavitamiseks kutsutud isikule“ protsessuaalset staatust ja ei näe ette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täpsemaid menetlusreegleid, siis menetlusliku olukorra tõlgendamisel abimaterjalina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kohtumenetlustega paralleeli toomisel on kliendi nõusolek asjaoluks, millega langeb ära ütlustes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andmisest keeldumise alus. HKMS § 56 lg 2 ja TsMS § 256 lg 2 p 1 kohaselt ei või advokaati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tunnistajana üle kuulata asjaolu suhtes, mis on saanud talle teatavaks ametikohustusi täites, ilma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selle isiku loata, kelle huvides saladuse hoidmise kohustus on kehtestatud.</w:t>
      </w:r>
    </w:p>
    <w:p w14:paraId="0A478076" w14:textId="77777777" w:rsidR="00982E90" w:rsidRDefault="00982E90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4676415C" w14:textId="278B850F" w:rsidR="00982E90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EMK on seisukohal, et kui klient on andnud nõusoleku andmete avaldamiseks, puudub advokaadil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õigus keelduda Riigikogu uurimiskomisjonile ütluste andmisest analoogiliselt haldus</w:t>
      </w:r>
      <w:r w:rsidR="00982E90">
        <w:rPr>
          <w:rFonts w:ascii="Times-Roman" w:eastAsiaTheme="minorHAnsi" w:hAnsi="Times-Roman" w:cs="Times-Roman"/>
          <w:lang w:eastAsia="en-US"/>
        </w:rPr>
        <w:t>-</w:t>
      </w:r>
      <w:r>
        <w:rPr>
          <w:rFonts w:ascii="Times-Roman" w:eastAsiaTheme="minorHAnsi" w:hAnsi="Times-Roman" w:cs="Times-Roman"/>
          <w:lang w:eastAsia="en-US"/>
        </w:rPr>
        <w:t xml:space="preserve"> või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tsiviilkohtumenetluses ütluste andmisest keeldumise aluse äralangemisega.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EMK hinnangul kinnitab seda ka asjakohane õiguspraktika Euroopas laiemalt. CCBE-</w:t>
      </w:r>
      <w:proofErr w:type="spellStart"/>
      <w:r>
        <w:rPr>
          <w:rFonts w:ascii="Times-Roman" w:eastAsiaTheme="minorHAnsi" w:hAnsi="Times-Roman" w:cs="Times-Roman"/>
          <w:lang w:eastAsia="en-US"/>
        </w:rPr>
        <w:t>lt</w:t>
      </w:r>
      <w:proofErr w:type="spellEnd"/>
      <w:r>
        <w:rPr>
          <w:rFonts w:ascii="Times-Roman" w:eastAsiaTheme="minorHAnsi" w:hAnsi="Times-Roman" w:cs="Times-Roman"/>
          <w:lang w:eastAsia="en-US"/>
        </w:rPr>
        <w:t xml:space="preserve"> saadud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teabe kohaselt on Euroopas kasutusel kolm kutsesaladust käsitlevat teooriat. Neist esimese kohaselt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on kutsesaladuse hoidmise kohustus absoluutne ning sellest pole võimalik vabaneda (Prantsusmaa,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Island, Luksemburg, Portugal, Hispaania ning ka Poola). Teiseks on olemas riigid, kus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kutsesaladuse hoidmise kohustusest võib vabaneda juhul, kui see on vajalik kliendi huvide kaitseks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(Belgia, Itaalia, Läti ja Holland). Kolmanda võimalusena (ja seda enamikes riikides) on kliendil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õigus otsustada kutsesaladuse hoidmise kohustusest vabastamise üle (Saksamaa, Eesti, Soome,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Leedu jne).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Saksamaal kasutatakse „saladuse peremehe“ kontseptsiooni, mille kohaselt on klient saladuse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omanik ning ainuõigustatud käsutaja. Kutsesaladuse hoidmise kohustus ei ole rakendatav alates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hetkest, kui klient kas otseselt või järeldatavalt vabastab advokaadi saladuse hoidmise kohustusest.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Eelduseks on see, et klient mõistab ja on võimeline hindama olukorda ning saab aru oma teo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tagajärgedest. Pärast kutsesaladuse hoidmise kohustusest vabastamist peab advokaat tunnistusi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andma ning ei oma õigust keelduda tunnistamast (§ 53 lg 2 kriminaalmenetluse seadustikus (</w:t>
      </w:r>
      <w:proofErr w:type="spellStart"/>
      <w:r>
        <w:rPr>
          <w:rFonts w:ascii="Times-Roman" w:eastAsiaTheme="minorHAnsi" w:hAnsi="Times-Roman" w:cs="Times-Roman"/>
          <w:lang w:eastAsia="en-US"/>
        </w:rPr>
        <w:t>StPO</w:t>
      </w:r>
      <w:proofErr w:type="spellEnd"/>
      <w:r>
        <w:rPr>
          <w:rFonts w:ascii="Times-Roman" w:eastAsiaTheme="minorHAnsi" w:hAnsi="Times-Roman" w:cs="Times-Roman"/>
          <w:lang w:eastAsia="en-US"/>
        </w:rPr>
        <w:t>)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ja § 385 lg 2 tsiviilkohtumenetluse seadustikus (ZPO)).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</w:p>
    <w:p w14:paraId="06538CF5" w14:textId="77777777" w:rsidR="00982E90" w:rsidRDefault="00982E90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1B3688AE" w14:textId="3585E72E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EMK hinnangul on Eestis kehtiv lahendus vastavalt eeltoodud põhjendustele ning eelviidatud sätete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süstemaatilisele ja vastastikku seostatud tõlgendamisele analoogiline Saksamaa lahendusega.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Saladusega ja advokaaditagatistega kaitstud informatsioon n.ö kuulub kliendile ja kui klient annab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loa selle avaldamiseks, ei saa advokaadil olla täiendavat isiklikku ja õiguslikku kaitset vajavat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erihuvi informatsiooni mitteavaldamisele. Milline informatsioon jääb saladusega kaitstuks ja milline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mitte, on kliendi, mitte advokaadi</w:t>
      </w:r>
      <w:r w:rsidR="00982E90">
        <w:rPr>
          <w:rFonts w:ascii="Times-Roman" w:eastAsiaTheme="minorHAnsi" w:hAnsi="Times-Roman" w:cs="Times-Roman"/>
          <w:lang w:eastAsia="en-US"/>
        </w:rPr>
        <w:t>,</w:t>
      </w:r>
      <w:r>
        <w:rPr>
          <w:rFonts w:ascii="Times-Roman" w:eastAsiaTheme="minorHAnsi" w:hAnsi="Times-Roman" w:cs="Times-Roman"/>
          <w:lang w:eastAsia="en-US"/>
        </w:rPr>
        <w:t xml:space="preserve"> otsus. Kliendi motiiv saladusega kaitstud informatsiooni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avaldamise taga ei ole oluline – olgu selleks kliendi hinnang, et see aitab tema huvisid paremini</w:t>
      </w:r>
      <w:r w:rsidR="00982E90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kaitsta või lihtsalt neutraalne tõdemus, et saladuse jätkuv hoidmine ei ole vajalik.</w:t>
      </w:r>
    </w:p>
    <w:p w14:paraId="08B94E23" w14:textId="77777777" w:rsidR="00134F7A" w:rsidRDefault="00134F7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3B81FBF2" w14:textId="2F807071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EMK peab siiski vajalikuks rõhutada, et kuivõrd kliendisaladuse kaitse on üks advokaaditegevuse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aluspõhimõtetest ja oluline tagatis ka õigusriigi toimimise jaoks, peab advokaat olema hoolas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kutsesaladusest vabastamise ja varasemalt kutsesaladusega kaitstud olnud informatsiooni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avaldamisel. EMK hinnangul hõlmab see kohustust veenduda nii advokaadi väljakutsunud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komisjoni või asutuse pädevuses kui selles, et klient on andnud kutsesaladuse avaldamise loa omal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vabal tahtel ja informeerituna sellega kaasnevatest tagajärgedest. Sõltuvalt konkreetse kaasuse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asjaoludest on üldjuhul soovitatav, et kutsesaladuse kaitsmisest vabastamisega seotud asjaolusid ja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tagajärgi selgitab kliendile sama advokaat, kelle kutsesaladuse avaldamise luba antakse ning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võimalusel fikseeritakse lisaks kirjalikule nõusolekule kirjalikult ka olulisemad advokaadi antud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selgitused. Samuti tuleb tähelepanelik olla loa ulatuse osas ning kirjalikult fikseerida nii võimalikud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piirangud kui ka igasuguste piirangute puudumine.</w:t>
      </w:r>
    </w:p>
    <w:p w14:paraId="0F583315" w14:textId="77777777" w:rsidR="00134F7A" w:rsidRDefault="00134F7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4D5F1187" w14:textId="6D82F9C1" w:rsidR="00EB0B0A" w:rsidRDefault="00EB0B0A" w:rsidP="00EB0B0A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lang w:eastAsia="en-US"/>
        </w:rPr>
      </w:pPr>
      <w:r>
        <w:rPr>
          <w:rFonts w:ascii="Times-Bold" w:eastAsiaTheme="minorHAnsi" w:hAnsi="Times-Bold" w:cs="Times-Bold"/>
          <w:b/>
          <w:bCs/>
          <w:lang w:eastAsia="en-US"/>
        </w:rPr>
        <w:t>Eeltoodust tulenevalt peab advokaat kliendi vastava kirjaliku nõusoleku olemasolul andma</w:t>
      </w:r>
      <w:r w:rsidR="00134F7A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teavet pädevatele uurimiskomisjonidele ja asutustele, s.h Riigikogu uurimiskomisjonile.</w:t>
      </w:r>
      <w:r w:rsidR="00134F7A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Kliendi saladust tuleb pidada kliendi omaks ning saladuse hoidmise kohustusest vabastamise</w:t>
      </w:r>
      <w:r w:rsidR="00134F7A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korral kaob advokaadil õigustus keelduda RKKTS-i alusel teabe esitamisest. Ilmselgelt tuleb</w:t>
      </w:r>
      <w:r w:rsidR="00134F7A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teabe andmisel lähtuda rangelt kliendi poolt antud vabastuse piiridest ning veenduda, et</w:t>
      </w:r>
      <w:r w:rsidR="00134F7A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lang w:eastAsia="en-US"/>
        </w:rPr>
        <w:t>klient mõistab ja on võimeline hindama olukorda ning saab aru oma teo tagajärgedest.</w:t>
      </w:r>
    </w:p>
    <w:p w14:paraId="23D8B6B3" w14:textId="77777777" w:rsidR="00134F7A" w:rsidRDefault="00134F7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0ED2A055" w14:textId="052C8992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EMK märgib, et kuigi (nagu eelpool juba viidatud) RKKTS ei reguleeri ütluste andmiseks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väljakutsutud isiku protsessuaalset staatust ehk menetluse täpsemat korda, saab analoogiliselt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tunnistaja küsitlemisega küsitleda advokaati just uuritava sündmusega seotud asjaolude kohta, st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faktiteadmiste kohta mingitest elulistest sündmustest ja asjaoludest. Advokaadi subjektiivsed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hinnangud ja kaalutlused, millest advokaat on õigusteenuse osutamisel lähtunud, ei oma n-ö asjaolu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kvaliteeti. Küll saab üldjuhul asjaoluna käsitleda küsimust sellest, milliseid soovitusi ja hoiatusi on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advokaat õigusteenuse osutamise käigus kliendile andnud - ning sellisel juhul võib olla kohane ja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vajalik selgitada ka hoiatuste ja soovituste taga olnud hinnanguid ja kaalutlusi. Siiski tuleb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advokaadil ka ütlusi andes silmas pidada, et küsimused ja vastused jäävad uurimiseseme ja kliendi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loaga avaldada lubatu piiridesse. EMK rõhutab, et kutsesaladuse kaitstuse põhimõtte olulisuse tõttu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nii advokaaditegevuse alusena kui ühe olulise õigusriigi tagatisena, ei saa advokaati täielikult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võrdsustada n.ö tavatunnistajaga, advokaadil säilib advokaaditegevusega seotud hoolsuskohustus ka</w:t>
      </w:r>
      <w:r w:rsidR="00134F7A"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>ütluste andmisel.</w:t>
      </w:r>
    </w:p>
    <w:p w14:paraId="42BBF7FE" w14:textId="77777777" w:rsidR="00134F7A" w:rsidRDefault="00134F7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14:paraId="415D8B7C" w14:textId="77777777" w:rsidR="00EB0B0A" w:rsidRPr="00134F7A" w:rsidRDefault="00EB0B0A" w:rsidP="00EB0B0A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lang w:eastAsia="en-US"/>
        </w:rPr>
      </w:pPr>
      <w:r w:rsidRPr="00134F7A">
        <w:rPr>
          <w:rFonts w:ascii="Times-Bold" w:eastAsiaTheme="minorHAnsi" w:hAnsi="Times-Bold" w:cs="Times-Bold"/>
          <w:b/>
          <w:bCs/>
          <w:lang w:eastAsia="en-US"/>
        </w:rPr>
        <w:t>Eeltoodust tulenevalt on lühivastused advokaat X esitatud küsimustele alljärgnevad:</w:t>
      </w:r>
    </w:p>
    <w:p w14:paraId="00BBFCCD" w14:textId="515DCCF8" w:rsidR="00EB0B0A" w:rsidRPr="00134F7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 w:rsidRPr="00134F7A">
        <w:rPr>
          <w:rFonts w:ascii="Times-Italic" w:eastAsiaTheme="minorHAnsi" w:hAnsi="Times-Italic" w:cs="Times-Italic"/>
          <w:lang w:eastAsia="en-US"/>
        </w:rPr>
        <w:t xml:space="preserve">(1) </w:t>
      </w:r>
      <w:r w:rsidRPr="00134F7A">
        <w:rPr>
          <w:rFonts w:ascii="Times-Roman" w:eastAsiaTheme="minorHAnsi" w:hAnsi="Times-Roman" w:cs="Times-Roman"/>
          <w:lang w:eastAsia="en-US"/>
        </w:rPr>
        <w:t>Riigikogu uurimiskomisjonil on vajalik pädevus kuulamaks tunnistajana üle vandeadvokaati.</w:t>
      </w:r>
      <w:r w:rsidR="00134F7A"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Ülekuulamise eelduseks on nõuetekohane kliendi või kliendi õigusjärglase luba informatsiooni</w:t>
      </w:r>
      <w:r w:rsidR="00134F7A" w:rsidRPr="00134F7A">
        <w:rPr>
          <w:rFonts w:ascii="Times-Roman" w:eastAsiaTheme="minorHAnsi" w:hAnsi="Times-Roman" w:cs="Times-Roman"/>
          <w:lang w:eastAsia="en-US"/>
        </w:rPr>
        <w:t xml:space="preserve"> a</w:t>
      </w:r>
      <w:r w:rsidRPr="00134F7A">
        <w:rPr>
          <w:rFonts w:ascii="Times-Roman" w:eastAsiaTheme="minorHAnsi" w:hAnsi="Times-Roman" w:cs="Times-Roman"/>
          <w:lang w:eastAsia="en-US"/>
        </w:rPr>
        <w:t>valdada.</w:t>
      </w:r>
      <w:r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Riigikogu uurimiskomisjonil on pädevus advokaadile õigusteenust osutades teatavaks</w:t>
      </w:r>
      <w:r w:rsidR="00134F7A"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saanud</w:t>
      </w:r>
      <w:r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asjaolude kohta küsimusi esitada ja seletusi nõuda ulatuses, milles klient või kliendi õigusjärglane</w:t>
      </w:r>
      <w:r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on vabastanud advokaadi kutsesaladuse hoidmise kohustusest oma kirjaliku nõusolekuga.</w:t>
      </w:r>
    </w:p>
    <w:p w14:paraId="5BCBD25A" w14:textId="6E41E503" w:rsidR="00EB0B0A" w:rsidRPr="00134F7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 w:rsidRPr="00134F7A">
        <w:rPr>
          <w:rFonts w:ascii="Times-Italic" w:eastAsiaTheme="minorHAnsi" w:hAnsi="Times-Italic" w:cs="Times-Italic"/>
          <w:lang w:eastAsia="en-US"/>
        </w:rPr>
        <w:t xml:space="preserve">(2) </w:t>
      </w:r>
      <w:r w:rsidRPr="00134F7A">
        <w:rPr>
          <w:rFonts w:ascii="Times-Roman" w:eastAsiaTheme="minorHAnsi" w:hAnsi="Times-Roman" w:cs="Times-Roman"/>
          <w:lang w:eastAsia="en-US"/>
        </w:rPr>
        <w:t>Kliendi nõusolekul on advokaat kohustatud andma informatsiooni ulatuses, milles on klient</w:t>
      </w:r>
      <w:r w:rsidR="00134F7A"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advokaadi kutsesaladuse hoidmisest vabastanud. Advokaati saab küsitleda faktiliste asjaolude</w:t>
      </w:r>
      <w:r w:rsidR="00134F7A"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kohta, advokaat ei ole kohustatud avaldama oma subjektiivseid hinnanguid ja kaalutlusi.</w:t>
      </w:r>
      <w:r w:rsidR="00134F7A"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Advokaadil säilib ütluste andmisel hoolsuskohustus jälgida, et küsitlemist viib läbi pädev komisjon</w:t>
      </w:r>
      <w:r w:rsidRPr="00134F7A">
        <w:rPr>
          <w:rFonts w:ascii="Times-Roman" w:eastAsiaTheme="minorHAnsi" w:hAnsi="Times-Roman" w:cs="Times-Roman"/>
          <w:lang w:eastAsia="en-US"/>
        </w:rPr>
        <w:t xml:space="preserve"> </w:t>
      </w:r>
      <w:r w:rsidRPr="00134F7A">
        <w:rPr>
          <w:rFonts w:ascii="Times-Roman" w:eastAsiaTheme="minorHAnsi" w:hAnsi="Times-Roman" w:cs="Times-Roman"/>
          <w:lang w:eastAsia="en-US"/>
        </w:rPr>
        <w:t>või asutus uurimiseseme ja kliendi loaga avaldada lubatu piirides.</w:t>
      </w:r>
    </w:p>
    <w:p w14:paraId="34C3CAC6" w14:textId="59958FEB" w:rsidR="00EB0B0A" w:rsidRDefault="00EB0B0A" w:rsidP="00EB0B0A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  <w:r w:rsidRPr="00134F7A">
        <w:rPr>
          <w:rFonts w:ascii="Times-Italic" w:eastAsiaTheme="minorHAnsi" w:hAnsi="Times-Italic" w:cs="Times-Italic"/>
          <w:lang w:eastAsia="en-US"/>
        </w:rPr>
        <w:t xml:space="preserve">(3) </w:t>
      </w:r>
      <w:r w:rsidRPr="00134F7A">
        <w:rPr>
          <w:rFonts w:ascii="Times-Roman" w:eastAsiaTheme="minorHAnsi" w:hAnsi="Times-Roman" w:cs="Times-Roman"/>
          <w:lang w:eastAsia="en-US"/>
        </w:rPr>
        <w:t>Kliendi nõusoleku</w:t>
      </w:r>
      <w:r>
        <w:rPr>
          <w:rFonts w:ascii="Times-Roman" w:eastAsiaTheme="minorHAnsi" w:hAnsi="Times-Roman" w:cs="Times-Roman"/>
          <w:lang w:eastAsia="en-US"/>
        </w:rPr>
        <w:t xml:space="preserve"> olemasolul ei ole advokaadi ülekuulamine käsitletav AdvS § 43 lg 2</w:t>
      </w:r>
    </w:p>
    <w:p w14:paraId="1792E638" w14:textId="66B235E0" w:rsidR="00EB0B0A" w:rsidRDefault="00EB0B0A" w:rsidP="00EB0B0A">
      <w:pPr>
        <w:jc w:val="both"/>
        <w:rPr>
          <w:color w:val="000000"/>
        </w:rPr>
      </w:pPr>
      <w:r>
        <w:rPr>
          <w:rFonts w:ascii="Times-Roman" w:eastAsiaTheme="minorHAnsi" w:hAnsi="Times-Roman" w:cs="Times-Roman"/>
          <w:lang w:eastAsia="en-US"/>
        </w:rPr>
        <w:t>rikkumisena.</w:t>
      </w:r>
      <w:r>
        <w:rPr>
          <w:rFonts w:ascii="Times-Roman" w:eastAsiaTheme="minorHAnsi" w:hAnsi="Times-Roman" w:cs="Times-Roman"/>
          <w:lang w:eastAsia="en-US"/>
        </w:rPr>
        <w:t>“</w:t>
      </w:r>
    </w:p>
    <w:p w14:paraId="7D5340D6" w14:textId="77777777" w:rsidR="00EB0B0A" w:rsidRDefault="00EB0B0A" w:rsidP="00962715">
      <w:pPr>
        <w:jc w:val="both"/>
        <w:rPr>
          <w:color w:val="000000"/>
        </w:rPr>
      </w:pPr>
    </w:p>
    <w:p w14:paraId="5E118A8B" w14:textId="108EEC6B" w:rsidR="00962715" w:rsidRPr="006733F6" w:rsidRDefault="00962715" w:rsidP="00962715">
      <w:pPr>
        <w:jc w:val="both"/>
        <w:rPr>
          <w:b/>
          <w:color w:val="000000"/>
        </w:rPr>
      </w:pPr>
      <w:r>
        <w:rPr>
          <w:color w:val="000000"/>
        </w:rPr>
        <w:t>Juhatus</w:t>
      </w:r>
      <w:r w:rsidR="00134F7A">
        <w:rPr>
          <w:color w:val="000000"/>
        </w:rPr>
        <w:t xml:space="preserve"> </w:t>
      </w:r>
      <w:r>
        <w:rPr>
          <w:color w:val="000000"/>
        </w:rPr>
        <w:t xml:space="preserve">nõustub esitatud seisukohtadega, pidades vajalikuks eraldi rõhutada, et </w:t>
      </w:r>
      <w:r>
        <w:t>t</w:t>
      </w:r>
      <w:r w:rsidRPr="003A7EBF">
        <w:t>unnistaja ütlus</w:t>
      </w:r>
      <w:r>
        <w:t xml:space="preserve"> saab olla tõendiks vaid </w:t>
      </w:r>
      <w:r w:rsidRPr="003A7EBF">
        <w:t xml:space="preserve">nende asjaolude kohta, millest </w:t>
      </w:r>
      <w:r>
        <w:t>advokaat</w:t>
      </w:r>
      <w:r w:rsidRPr="003A7EBF">
        <w:t xml:space="preserve"> on saanud teadlikuks </w:t>
      </w:r>
      <w:r>
        <w:t>vahetult, mitte teise isiku vahendusel.</w:t>
      </w:r>
    </w:p>
    <w:p w14:paraId="3F07346B" w14:textId="77777777" w:rsidR="00962715" w:rsidRDefault="00962715" w:rsidP="00962715">
      <w:pPr>
        <w:jc w:val="both"/>
        <w:rPr>
          <w:b/>
          <w:bCs/>
          <w:color w:val="000000"/>
        </w:rPr>
      </w:pPr>
    </w:p>
    <w:p w14:paraId="1272BB66" w14:textId="77777777" w:rsidR="00962715" w:rsidRPr="00435C26" w:rsidRDefault="00962715" w:rsidP="00962715">
      <w:pPr>
        <w:jc w:val="both"/>
        <w:rPr>
          <w:bCs/>
          <w:color w:val="000000"/>
        </w:rPr>
      </w:pPr>
      <w:r w:rsidRPr="00435C26">
        <w:rPr>
          <w:bCs/>
          <w:color w:val="000000"/>
        </w:rPr>
        <w:t>Juhatus</w:t>
      </w:r>
    </w:p>
    <w:p w14:paraId="568BF951" w14:textId="77777777" w:rsidR="00962715" w:rsidRDefault="00962715" w:rsidP="00962715">
      <w:pPr>
        <w:jc w:val="both"/>
        <w:rPr>
          <w:b/>
          <w:bCs/>
          <w:color w:val="000000"/>
        </w:rPr>
      </w:pPr>
    </w:p>
    <w:p w14:paraId="52E87A48" w14:textId="77777777" w:rsidR="00962715" w:rsidRDefault="00962715" w:rsidP="0096271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 T S U S T A S:</w:t>
      </w:r>
    </w:p>
    <w:p w14:paraId="3BA7FE8A" w14:textId="77777777" w:rsidR="00962715" w:rsidRDefault="00962715" w:rsidP="00962715">
      <w:pPr>
        <w:jc w:val="both"/>
        <w:rPr>
          <w:b/>
          <w:bCs/>
          <w:color w:val="000000"/>
        </w:rPr>
      </w:pPr>
    </w:p>
    <w:p w14:paraId="36DCBA91" w14:textId="77777777" w:rsidR="00962715" w:rsidRDefault="00962715" w:rsidP="0096271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Teavitada vandeadvokaati juhatuse seisukohast.</w:t>
      </w:r>
    </w:p>
    <w:p w14:paraId="4CEE1CA0" w14:textId="77777777" w:rsidR="00DB785D" w:rsidRDefault="00DB785D"/>
    <w:sectPr w:rsidR="00DB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A969" w14:textId="77777777" w:rsidR="00400BB6" w:rsidRDefault="00400BB6" w:rsidP="00400BB6">
      <w:r>
        <w:separator/>
      </w:r>
    </w:p>
  </w:endnote>
  <w:endnote w:type="continuationSeparator" w:id="0">
    <w:p w14:paraId="367A62DF" w14:textId="77777777" w:rsidR="00400BB6" w:rsidRDefault="00400BB6" w:rsidP="004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5A24" w14:textId="77777777" w:rsidR="00400BB6" w:rsidRDefault="00400BB6" w:rsidP="00400BB6">
      <w:r>
        <w:separator/>
      </w:r>
    </w:p>
  </w:footnote>
  <w:footnote w:type="continuationSeparator" w:id="0">
    <w:p w14:paraId="7CB1AEF8" w14:textId="77777777" w:rsidR="00400BB6" w:rsidRDefault="00400BB6" w:rsidP="00400BB6">
      <w:r>
        <w:continuationSeparator/>
      </w:r>
    </w:p>
  </w:footnote>
  <w:footnote w:id="1">
    <w:p w14:paraId="718D7D0D" w14:textId="4F96885C" w:rsidR="00400BB6" w:rsidRPr="00982E90" w:rsidRDefault="00400BB6" w:rsidP="00400B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E90">
        <w:rPr>
          <w:rStyle w:val="Allmrkuseviide"/>
          <w:sz w:val="20"/>
          <w:szCs w:val="20"/>
        </w:rPr>
        <w:footnoteRef/>
      </w:r>
      <w:r w:rsidRPr="00982E90">
        <w:rPr>
          <w:sz w:val="20"/>
          <w:szCs w:val="20"/>
        </w:rPr>
        <w:t xml:space="preserve"> </w:t>
      </w:r>
      <w:r w:rsidRPr="00982E90">
        <w:rPr>
          <w:rFonts w:eastAsiaTheme="minorHAnsi"/>
          <w:sz w:val="20"/>
          <w:szCs w:val="20"/>
          <w:lang w:eastAsia="en-US"/>
        </w:rPr>
        <w:t xml:space="preserve">Näiteks ECHR, 16. oktoober 2007,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Wieser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and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Bicos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Beteiligungen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v Austria,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Rep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>. 2007-IV; 23. jaanuar 2007,</w:t>
      </w:r>
      <w:r w:rsidRPr="00982E9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Kepeneklioglu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v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Turkey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Rep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. 2007-IV; 20. juuni 2000,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Foxley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v UK, www.echr.coe.int/hudoc; 25. märts 1992,</w:t>
      </w:r>
      <w:r w:rsidRPr="00982E90">
        <w:rPr>
          <w:rFonts w:eastAsiaTheme="minorHAnsi"/>
          <w:sz w:val="20"/>
          <w:szCs w:val="20"/>
          <w:lang w:eastAsia="en-US"/>
        </w:rPr>
        <w:t xml:space="preserve"> </w:t>
      </w:r>
      <w:r w:rsidRPr="00982E90">
        <w:rPr>
          <w:rFonts w:eastAsiaTheme="minorHAnsi"/>
          <w:sz w:val="20"/>
          <w:szCs w:val="20"/>
          <w:lang w:eastAsia="en-US"/>
        </w:rPr>
        <w:t xml:space="preserve">Campbell v United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Kingdom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series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A, no 233; CJEU,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case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550/7 (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Akzo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>) of 14. september 2010, ECR, 2010, I-08301.</w:t>
      </w:r>
    </w:p>
  </w:footnote>
  <w:footnote w:id="2">
    <w:p w14:paraId="2B64292D" w14:textId="2E529F64" w:rsidR="00400BB6" w:rsidRPr="00982E90" w:rsidRDefault="00400BB6" w:rsidP="00982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E90">
        <w:rPr>
          <w:rStyle w:val="Allmrkuseviide"/>
          <w:sz w:val="20"/>
          <w:szCs w:val="20"/>
        </w:rPr>
        <w:footnoteRef/>
      </w:r>
      <w:r w:rsidRPr="00982E90">
        <w:rPr>
          <w:sz w:val="20"/>
          <w:szCs w:val="20"/>
        </w:rPr>
        <w:t xml:space="preserve"> </w:t>
      </w:r>
      <w:r w:rsidRPr="00982E90">
        <w:rPr>
          <w:rFonts w:eastAsiaTheme="minorHAnsi"/>
          <w:sz w:val="20"/>
          <w:szCs w:val="20"/>
          <w:lang w:eastAsia="en-US"/>
        </w:rPr>
        <w:t xml:space="preserve">CJEU, 18. mai 1982, kohtuasi nr 155/79, C-305/05, AM&amp;S Limited v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Commission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of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the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European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Communities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>,</w:t>
      </w:r>
      <w:r w:rsidR="00982E9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Rep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. 1982, 1575; CJEU, 26. juuni 2007, kohtuasi nr C-305/05,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Ordre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des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barreaux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francophones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et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germanophones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and</w:t>
      </w:r>
      <w:r w:rsidR="00982E9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others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v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Council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 of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Ministers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982E90">
        <w:rPr>
          <w:rFonts w:eastAsiaTheme="minorHAnsi"/>
          <w:sz w:val="20"/>
          <w:szCs w:val="20"/>
          <w:lang w:eastAsia="en-US"/>
        </w:rPr>
        <w:t>Rep</w:t>
      </w:r>
      <w:proofErr w:type="spellEnd"/>
      <w:r w:rsidRPr="00982E90">
        <w:rPr>
          <w:rFonts w:eastAsiaTheme="minorHAnsi"/>
          <w:sz w:val="20"/>
          <w:szCs w:val="20"/>
          <w:lang w:eastAsia="en-US"/>
        </w:rPr>
        <w:t>., 2007-I, 05305.</w:t>
      </w:r>
    </w:p>
  </w:footnote>
  <w:footnote w:id="3">
    <w:p w14:paraId="501703AC" w14:textId="4EFBB871" w:rsidR="00400BB6" w:rsidRPr="00982E90" w:rsidRDefault="00400BB6">
      <w:pPr>
        <w:pStyle w:val="Allmrkusetekst"/>
      </w:pPr>
      <w:r w:rsidRPr="00982E90">
        <w:rPr>
          <w:rStyle w:val="Allmrkuseviide"/>
        </w:rPr>
        <w:footnoteRef/>
      </w:r>
      <w:r w:rsidRPr="00982E90">
        <w:t xml:space="preserve"> </w:t>
      </w:r>
      <w:r w:rsidRPr="00982E90">
        <w:rPr>
          <w:rFonts w:eastAsiaTheme="minorHAnsi"/>
          <w:lang w:eastAsia="en-US"/>
        </w:rPr>
        <w:t xml:space="preserve">Kohtujurist </w:t>
      </w:r>
      <w:proofErr w:type="spellStart"/>
      <w:r w:rsidRPr="00982E90">
        <w:rPr>
          <w:rFonts w:eastAsiaTheme="minorHAnsi"/>
          <w:lang w:eastAsia="en-US"/>
        </w:rPr>
        <w:t>Maduro</w:t>
      </w:r>
      <w:proofErr w:type="spellEnd"/>
      <w:r w:rsidRPr="00982E90">
        <w:rPr>
          <w:rFonts w:eastAsiaTheme="minorHAnsi"/>
          <w:lang w:eastAsia="en-US"/>
        </w:rPr>
        <w:t xml:space="preserve"> arvamus kohtuasjas nr C-305/5 CJEU (14. detsember 2006), paragrahv 42.</w:t>
      </w:r>
    </w:p>
  </w:footnote>
  <w:footnote w:id="4">
    <w:p w14:paraId="07B53EBF" w14:textId="51CABCC3" w:rsidR="000742D4" w:rsidRPr="00982E90" w:rsidRDefault="000742D4">
      <w:pPr>
        <w:pStyle w:val="Allmrkusetekst"/>
      </w:pPr>
      <w:r w:rsidRPr="00982E90">
        <w:rPr>
          <w:rStyle w:val="Allmrkuseviide"/>
        </w:rPr>
        <w:footnoteRef/>
      </w:r>
      <w:r w:rsidRPr="00982E90">
        <w:t xml:space="preserve"> </w:t>
      </w:r>
      <w:r w:rsidRPr="00982E90">
        <w:rPr>
          <w:rFonts w:eastAsiaTheme="minorHAnsi"/>
          <w:lang w:eastAsia="en-US"/>
        </w:rPr>
        <w:t xml:space="preserve">Näiteks ECHR, 27. september 2005, </w:t>
      </w:r>
      <w:proofErr w:type="spellStart"/>
      <w:r w:rsidRPr="00982E90">
        <w:rPr>
          <w:rFonts w:eastAsiaTheme="minorHAnsi"/>
          <w:lang w:eastAsia="en-US"/>
        </w:rPr>
        <w:t>Petri</w:t>
      </w:r>
      <w:proofErr w:type="spellEnd"/>
      <w:r w:rsidRPr="00982E90">
        <w:rPr>
          <w:rFonts w:eastAsiaTheme="minorHAnsi"/>
          <w:lang w:eastAsia="en-US"/>
        </w:rPr>
        <w:t xml:space="preserve"> </w:t>
      </w:r>
      <w:proofErr w:type="spellStart"/>
      <w:r w:rsidRPr="00982E90">
        <w:rPr>
          <w:rFonts w:eastAsiaTheme="minorHAnsi"/>
          <w:lang w:eastAsia="en-US"/>
        </w:rPr>
        <w:t>Sallinen</w:t>
      </w:r>
      <w:proofErr w:type="spellEnd"/>
      <w:r w:rsidRPr="00982E90">
        <w:rPr>
          <w:rFonts w:eastAsiaTheme="minorHAnsi"/>
          <w:lang w:eastAsia="en-US"/>
        </w:rPr>
        <w:t xml:space="preserve"> et </w:t>
      </w:r>
      <w:proofErr w:type="spellStart"/>
      <w:r w:rsidRPr="00982E90">
        <w:rPr>
          <w:rFonts w:eastAsiaTheme="minorHAnsi"/>
          <w:lang w:eastAsia="en-US"/>
        </w:rPr>
        <w:t>al</w:t>
      </w:r>
      <w:proofErr w:type="spellEnd"/>
      <w:r w:rsidRPr="00982E90">
        <w:rPr>
          <w:rFonts w:eastAsiaTheme="minorHAnsi"/>
          <w:lang w:eastAsia="en-US"/>
        </w:rPr>
        <w:t xml:space="preserve"> v </w:t>
      </w:r>
      <w:proofErr w:type="spellStart"/>
      <w:r w:rsidRPr="00982E90">
        <w:rPr>
          <w:rFonts w:eastAsiaTheme="minorHAnsi"/>
          <w:lang w:eastAsia="en-US"/>
        </w:rPr>
        <w:t>Finland</w:t>
      </w:r>
      <w:proofErr w:type="spellEnd"/>
      <w:r w:rsidRPr="00982E90">
        <w:rPr>
          <w:rFonts w:eastAsiaTheme="minorHAnsi"/>
          <w:lang w:eastAsia="en-US"/>
        </w:rPr>
        <w:t>, www.echr.coe.int/hudoc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15"/>
    <w:rsid w:val="000742D4"/>
    <w:rsid w:val="00134F7A"/>
    <w:rsid w:val="00400BB6"/>
    <w:rsid w:val="00761E65"/>
    <w:rsid w:val="00962715"/>
    <w:rsid w:val="00982A4E"/>
    <w:rsid w:val="00982E90"/>
    <w:rsid w:val="00DB785D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A4F3"/>
  <w15:chartTrackingRefBased/>
  <w15:docId w15:val="{D6D5757E-AA97-4485-A4FC-3372C60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00BB6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400BB6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400BB6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400BB6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00BB6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00BB6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character" w:styleId="Allmrkuseviide">
    <w:name w:val="footnote reference"/>
    <w:basedOn w:val="Liguvaikefont"/>
    <w:uiPriority w:val="99"/>
    <w:semiHidden/>
    <w:unhideWhenUsed/>
    <w:rsid w:val="00400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2021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6</cp:revision>
  <dcterms:created xsi:type="dcterms:W3CDTF">2019-04-08T06:58:00Z</dcterms:created>
  <dcterms:modified xsi:type="dcterms:W3CDTF">2023-10-24T04:53:00Z</dcterms:modified>
</cp:coreProperties>
</file>