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DBC" w:rsidRPr="00CC65D4" w:rsidRDefault="00217DBC" w:rsidP="00217DBC">
      <w:pPr>
        <w:rPr>
          <w:color w:val="000000" w:themeColor="text1"/>
        </w:rPr>
      </w:pPr>
      <w:r w:rsidRPr="00CC65D4">
        <w:rPr>
          <w:b w:val="0"/>
          <w:bCs/>
          <w:color w:val="000000" w:themeColor="text1"/>
        </w:rPr>
        <w:t>EESTI ADVOKATUURI JUHATUS</w:t>
      </w:r>
    </w:p>
    <w:p w:rsidR="00217DBC" w:rsidRPr="00CC65D4" w:rsidRDefault="00217DBC" w:rsidP="00217DBC">
      <w:pPr>
        <w:jc w:val="both"/>
        <w:rPr>
          <w:b w:val="0"/>
          <w:bCs/>
          <w:color w:val="000000" w:themeColor="text1"/>
        </w:rPr>
      </w:pPr>
      <w:r w:rsidRPr="00CC65D4">
        <w:rPr>
          <w:b w:val="0"/>
          <w:bCs/>
          <w:color w:val="000000" w:themeColor="text1"/>
        </w:rPr>
        <w:t>ISTUNGI PROTOKOLL</w:t>
      </w:r>
    </w:p>
    <w:p w:rsidR="00217DBC" w:rsidRPr="00CC65D4" w:rsidRDefault="00217DBC" w:rsidP="00217DBC">
      <w:pPr>
        <w:jc w:val="both"/>
        <w:rPr>
          <w:b w:val="0"/>
          <w:bCs/>
          <w:color w:val="000000" w:themeColor="text1"/>
        </w:rPr>
      </w:pPr>
      <w:r w:rsidRPr="00CC65D4">
        <w:rPr>
          <w:b w:val="0"/>
          <w:bCs/>
          <w:color w:val="000000" w:themeColor="text1"/>
        </w:rPr>
        <w:t>3. september 2019. a nr 18</w:t>
      </w:r>
    </w:p>
    <w:p w:rsidR="00217DBC" w:rsidRPr="00CC65D4" w:rsidRDefault="00217DBC" w:rsidP="00217DBC">
      <w:pPr>
        <w:jc w:val="both"/>
        <w:rPr>
          <w:b w:val="0"/>
          <w:bCs/>
          <w:color w:val="000000" w:themeColor="text1"/>
        </w:rPr>
      </w:pPr>
      <w:r w:rsidRPr="00CC65D4">
        <w:rPr>
          <w:b w:val="0"/>
          <w:bCs/>
          <w:color w:val="000000" w:themeColor="text1"/>
        </w:rPr>
        <w:t>Tallinn</w:t>
      </w:r>
    </w:p>
    <w:p w:rsidR="00217DBC" w:rsidRPr="00D428D8" w:rsidRDefault="00217DBC" w:rsidP="00217DBC">
      <w:pPr>
        <w:jc w:val="both"/>
        <w:outlineLvl w:val="0"/>
        <w:rPr>
          <w:bCs/>
          <w:color w:val="000000" w:themeColor="text1"/>
        </w:rPr>
      </w:pPr>
    </w:p>
    <w:p w:rsidR="00217DBC" w:rsidRDefault="00217DBC" w:rsidP="00217DBC">
      <w:pPr>
        <w:jc w:val="both"/>
        <w:outlineLvl w:val="0"/>
        <w:rPr>
          <w:bCs/>
          <w:color w:val="000000" w:themeColor="text1"/>
        </w:rPr>
      </w:pPr>
    </w:p>
    <w:p w:rsidR="00217DBC" w:rsidRDefault="00217DBC" w:rsidP="00217DBC">
      <w:pPr>
        <w:jc w:val="both"/>
        <w:outlineLvl w:val="0"/>
        <w:rPr>
          <w:bCs/>
          <w:color w:val="000000" w:themeColor="text1"/>
        </w:rPr>
      </w:pPr>
    </w:p>
    <w:p w:rsidR="00217DBC" w:rsidRDefault="00217DBC" w:rsidP="00217DBC">
      <w:pPr>
        <w:jc w:val="both"/>
        <w:outlineLvl w:val="0"/>
        <w:rPr>
          <w:bCs/>
          <w:color w:val="000000" w:themeColor="text1"/>
        </w:rPr>
      </w:pPr>
    </w:p>
    <w:p w:rsidR="00217DBC" w:rsidRPr="00BC7295" w:rsidRDefault="00BC7295" w:rsidP="00BC729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Vandetõlgina tegutsemine</w:t>
      </w:r>
    </w:p>
    <w:p w:rsidR="00217DBC" w:rsidRPr="005045BB" w:rsidRDefault="00217DBC" w:rsidP="00217DBC">
      <w:pPr>
        <w:jc w:val="both"/>
        <w:rPr>
          <w:bCs/>
          <w:color w:val="FF0000"/>
        </w:rPr>
      </w:pPr>
    </w:p>
    <w:p w:rsidR="00217DBC" w:rsidRPr="006147E7" w:rsidRDefault="00217DBC" w:rsidP="00217DBC">
      <w:pPr>
        <w:jc w:val="both"/>
        <w:rPr>
          <w:rFonts w:eastAsia="Calibri"/>
          <w:b w:val="0"/>
          <w:color w:val="000000"/>
          <w:lang w:eastAsia="en-US"/>
        </w:rPr>
      </w:pPr>
      <w:r w:rsidRPr="006147E7">
        <w:rPr>
          <w:rFonts w:eastAsia="Calibri"/>
          <w:b w:val="0"/>
          <w:color w:val="000000"/>
          <w:lang w:eastAsia="en-US"/>
        </w:rPr>
        <w:t xml:space="preserve">Vandeadvokaat </w:t>
      </w:r>
      <w:r w:rsidR="00BC7295">
        <w:rPr>
          <w:rFonts w:eastAsia="Calibri"/>
          <w:b w:val="0"/>
          <w:color w:val="000000"/>
          <w:lang w:eastAsia="en-US"/>
        </w:rPr>
        <w:t>A p</w:t>
      </w:r>
      <w:r w:rsidRPr="006147E7">
        <w:rPr>
          <w:rFonts w:eastAsia="Calibri"/>
          <w:b w:val="0"/>
          <w:color w:val="000000"/>
          <w:lang w:eastAsia="en-US"/>
        </w:rPr>
        <w:t>öördus juhatuse poole küsimus</w:t>
      </w:r>
      <w:r>
        <w:rPr>
          <w:rFonts w:eastAsia="Calibri"/>
          <w:b w:val="0"/>
          <w:color w:val="000000"/>
          <w:lang w:eastAsia="en-US"/>
        </w:rPr>
        <w:t>es</w:t>
      </w:r>
      <w:r w:rsidRPr="006147E7">
        <w:rPr>
          <w:rFonts w:eastAsia="Calibri"/>
          <w:b w:val="0"/>
          <w:color w:val="000000"/>
          <w:lang w:eastAsia="en-US"/>
        </w:rPr>
        <w:t>, kas vandeadvokaat võib osaleda vandetõlgi eksamil ja tegutseda vandetõlgina ilma advokaadi kutsetegevuse peatamiseta.</w:t>
      </w:r>
    </w:p>
    <w:p w:rsidR="00217DBC" w:rsidRPr="006147E7" w:rsidRDefault="00217DBC" w:rsidP="00217DBC">
      <w:pPr>
        <w:jc w:val="both"/>
        <w:rPr>
          <w:rFonts w:eastAsia="Calibri"/>
          <w:b w:val="0"/>
          <w:color w:val="000000"/>
          <w:lang w:eastAsia="en-US"/>
        </w:rPr>
      </w:pPr>
    </w:p>
    <w:p w:rsidR="00217DBC" w:rsidRPr="006147E7" w:rsidRDefault="00217DBC" w:rsidP="00217DBC">
      <w:pPr>
        <w:jc w:val="both"/>
        <w:rPr>
          <w:rFonts w:eastAsia="Calibri"/>
          <w:b w:val="0"/>
          <w:color w:val="000000"/>
          <w:lang w:eastAsia="en-US"/>
        </w:rPr>
      </w:pPr>
      <w:r>
        <w:rPr>
          <w:rFonts w:eastAsia="Calibri"/>
          <w:b w:val="0"/>
          <w:color w:val="000000"/>
          <w:lang w:eastAsia="en-US"/>
        </w:rPr>
        <w:t>Eetikakoodeksi § 4 lg 4 kohaselt on advokaadil keelatud tegutseda kutsealal, mis on vastuolus advokaadi kutse-eetika nõuetega või sõltumatuse põhimõttega või mis on muul viisil sobimatu advokaadi kutsega. J</w:t>
      </w:r>
      <w:r w:rsidRPr="006147E7">
        <w:rPr>
          <w:rFonts w:eastAsia="Calibri"/>
          <w:b w:val="0"/>
          <w:color w:val="000000"/>
          <w:lang w:eastAsia="en-US"/>
        </w:rPr>
        <w:t>uhatus</w:t>
      </w:r>
      <w:r>
        <w:rPr>
          <w:rFonts w:eastAsia="Calibri"/>
          <w:b w:val="0"/>
          <w:color w:val="000000"/>
          <w:lang w:eastAsia="en-US"/>
        </w:rPr>
        <w:t xml:space="preserve"> leiab</w:t>
      </w:r>
      <w:r w:rsidRPr="006147E7">
        <w:rPr>
          <w:rFonts w:eastAsia="Calibri"/>
          <w:b w:val="0"/>
          <w:color w:val="000000"/>
          <w:lang w:eastAsia="en-US"/>
        </w:rPr>
        <w:t>, et vandetõlgi</w:t>
      </w:r>
      <w:r>
        <w:rPr>
          <w:rFonts w:eastAsia="Calibri"/>
          <w:b w:val="0"/>
          <w:color w:val="000000"/>
          <w:lang w:eastAsia="en-US"/>
        </w:rPr>
        <w:t xml:space="preserve"> kutseala iseenesest </w:t>
      </w:r>
      <w:r w:rsidRPr="006147E7">
        <w:rPr>
          <w:rFonts w:eastAsia="Calibri"/>
          <w:b w:val="0"/>
          <w:color w:val="000000"/>
          <w:lang w:eastAsia="en-US"/>
        </w:rPr>
        <w:t xml:space="preserve">ei </w:t>
      </w:r>
      <w:r>
        <w:rPr>
          <w:rFonts w:eastAsia="Calibri"/>
          <w:b w:val="0"/>
          <w:color w:val="000000"/>
          <w:lang w:eastAsia="en-US"/>
        </w:rPr>
        <w:t>ole advokaadi kutsega sobimatu ning need kutsed on teatud tingimustel ühitatavad. A</w:t>
      </w:r>
      <w:r w:rsidRPr="006147E7">
        <w:rPr>
          <w:rFonts w:eastAsia="Calibri"/>
          <w:b w:val="0"/>
          <w:color w:val="000000"/>
          <w:lang w:eastAsia="en-US"/>
        </w:rPr>
        <w:t>dvokaat</w:t>
      </w:r>
      <w:r>
        <w:rPr>
          <w:rFonts w:eastAsia="Calibri"/>
          <w:b w:val="0"/>
          <w:color w:val="000000"/>
          <w:lang w:eastAsia="en-US"/>
        </w:rPr>
        <w:t xml:space="preserve"> võib sooritada vandetõlgi eksami ning</w:t>
      </w:r>
      <w:r w:rsidRPr="006147E7">
        <w:rPr>
          <w:rFonts w:eastAsia="Calibri"/>
          <w:b w:val="0"/>
          <w:color w:val="000000"/>
          <w:lang w:eastAsia="en-US"/>
        </w:rPr>
        <w:t xml:space="preserve"> tegutseda vandetõlgina</w:t>
      </w:r>
      <w:r>
        <w:rPr>
          <w:rFonts w:eastAsia="Calibri"/>
          <w:b w:val="0"/>
          <w:color w:val="000000"/>
          <w:lang w:eastAsia="en-US"/>
        </w:rPr>
        <w:t xml:space="preserve"> ja advokaadina</w:t>
      </w:r>
      <w:r w:rsidRPr="006147E7">
        <w:rPr>
          <w:rFonts w:eastAsia="Calibri"/>
          <w:b w:val="0"/>
          <w:color w:val="000000"/>
          <w:lang w:eastAsia="en-US"/>
        </w:rPr>
        <w:t xml:space="preserve"> paralleelselt</w:t>
      </w:r>
      <w:r>
        <w:rPr>
          <w:rFonts w:eastAsia="Calibri"/>
          <w:b w:val="0"/>
          <w:color w:val="000000"/>
          <w:lang w:eastAsia="en-US"/>
        </w:rPr>
        <w:t>, kuid peab seejuures täitma mõlema kutseala nõudeid</w:t>
      </w:r>
      <w:r w:rsidRPr="006147E7">
        <w:rPr>
          <w:rFonts w:eastAsia="Calibri"/>
          <w:b w:val="0"/>
          <w:color w:val="000000"/>
          <w:lang w:eastAsia="en-US"/>
        </w:rPr>
        <w:t xml:space="preserve">. </w:t>
      </w:r>
    </w:p>
    <w:p w:rsidR="00217DBC" w:rsidRPr="006147E7" w:rsidRDefault="00217DBC" w:rsidP="00217DBC">
      <w:pPr>
        <w:jc w:val="both"/>
        <w:rPr>
          <w:rFonts w:eastAsia="Calibri"/>
          <w:b w:val="0"/>
          <w:color w:val="000000"/>
          <w:lang w:eastAsia="en-US"/>
        </w:rPr>
      </w:pPr>
    </w:p>
    <w:p w:rsidR="00217DBC" w:rsidRPr="005045BB" w:rsidRDefault="00217DBC" w:rsidP="00217DBC">
      <w:pPr>
        <w:jc w:val="both"/>
        <w:rPr>
          <w:bCs/>
          <w:color w:val="FF0000"/>
        </w:rPr>
      </w:pPr>
    </w:p>
    <w:p w:rsidR="00217DBC" w:rsidRPr="006147E7" w:rsidRDefault="00217DBC" w:rsidP="00217DBC">
      <w:pPr>
        <w:jc w:val="both"/>
        <w:rPr>
          <w:b w:val="0"/>
          <w:color w:val="000000" w:themeColor="text1"/>
        </w:rPr>
      </w:pPr>
      <w:bookmarkStart w:id="0" w:name="_Hlk17810262"/>
      <w:r w:rsidRPr="006147E7">
        <w:rPr>
          <w:b w:val="0"/>
          <w:color w:val="000000" w:themeColor="text1"/>
        </w:rPr>
        <w:t>Juhatus</w:t>
      </w:r>
    </w:p>
    <w:p w:rsidR="00217DBC" w:rsidRPr="006147E7" w:rsidRDefault="00217DBC" w:rsidP="00217DBC">
      <w:pPr>
        <w:jc w:val="both"/>
        <w:rPr>
          <w:bCs/>
          <w:color w:val="000000" w:themeColor="text1"/>
        </w:rPr>
      </w:pPr>
    </w:p>
    <w:p w:rsidR="00217DBC" w:rsidRPr="006147E7" w:rsidRDefault="00217DBC" w:rsidP="00217DBC">
      <w:pPr>
        <w:jc w:val="both"/>
        <w:rPr>
          <w:bCs/>
          <w:color w:val="000000" w:themeColor="text1"/>
        </w:rPr>
      </w:pPr>
      <w:r w:rsidRPr="006147E7">
        <w:rPr>
          <w:bCs/>
          <w:color w:val="000000" w:themeColor="text1"/>
        </w:rPr>
        <w:t>O T S U S T A S:</w:t>
      </w:r>
    </w:p>
    <w:bookmarkEnd w:id="0"/>
    <w:p w:rsidR="00217DBC" w:rsidRDefault="00217DBC" w:rsidP="00217DBC">
      <w:pPr>
        <w:jc w:val="both"/>
        <w:rPr>
          <w:bCs/>
          <w:color w:val="000000" w:themeColor="text1"/>
        </w:rPr>
      </w:pPr>
    </w:p>
    <w:p w:rsidR="00217DBC" w:rsidRDefault="00217DBC" w:rsidP="00217DBC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Teavitada eeltoodud seisukohast advokaati.</w:t>
      </w:r>
    </w:p>
    <w:p w:rsidR="0017533A" w:rsidRDefault="0017533A"/>
    <w:sectPr w:rsidR="00175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60B"/>
    <w:multiLevelType w:val="multilevel"/>
    <w:tmpl w:val="343A06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7C315EC"/>
    <w:multiLevelType w:val="multilevel"/>
    <w:tmpl w:val="82185B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31693824">
    <w:abstractNumId w:val="0"/>
  </w:num>
  <w:num w:numId="2" w16cid:durableId="2123768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BC"/>
    <w:rsid w:val="0017533A"/>
    <w:rsid w:val="00217DBC"/>
    <w:rsid w:val="00B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4FAF"/>
  <w15:chartTrackingRefBased/>
  <w15:docId w15:val="{DFDC4E45-C893-4992-BECA-A467DACF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17DB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1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Eesti Advo</dc:creator>
  <cp:keywords/>
  <dc:description/>
  <cp:lastModifiedBy>Jane Suur</cp:lastModifiedBy>
  <cp:revision>2</cp:revision>
  <dcterms:created xsi:type="dcterms:W3CDTF">2019-09-16T12:46:00Z</dcterms:created>
  <dcterms:modified xsi:type="dcterms:W3CDTF">2023-10-02T08:36:00Z</dcterms:modified>
</cp:coreProperties>
</file>