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EF70" w14:textId="77777777" w:rsidR="00FD3C96" w:rsidRPr="00745764" w:rsidRDefault="00FD3C96" w:rsidP="00FD3C96">
      <w:pPr>
        <w:spacing w:after="0" w:line="240" w:lineRule="auto"/>
        <w:jc w:val="both"/>
        <w:textAlignment w:val="baseline"/>
        <w:rPr>
          <w:rFonts w:ascii="Times New Roman" w:eastAsia="Times New Roman" w:hAnsi="Times New Roman" w:cs="Times New Roman"/>
          <w:sz w:val="24"/>
          <w:szCs w:val="24"/>
        </w:rPr>
      </w:pPr>
      <w:r w:rsidRPr="25922200">
        <w:rPr>
          <w:rFonts w:ascii="Times New Roman" w:eastAsia="Times New Roman" w:hAnsi="Times New Roman" w:cs="Times New Roman"/>
          <w:sz w:val="24"/>
          <w:szCs w:val="24"/>
        </w:rPr>
        <w:t>EESTI ADVOKATUURI JUHATUS</w:t>
      </w:r>
    </w:p>
    <w:p w14:paraId="263563D8" w14:textId="77777777" w:rsidR="00FD3C96" w:rsidRPr="00745764" w:rsidRDefault="00FD3C96" w:rsidP="00FD3C96">
      <w:pPr>
        <w:spacing w:after="0" w:line="240" w:lineRule="auto"/>
        <w:jc w:val="both"/>
        <w:textAlignment w:val="baseline"/>
        <w:rPr>
          <w:rFonts w:ascii="Times New Roman" w:eastAsia="Times New Roman" w:hAnsi="Times New Roman" w:cs="Times New Roman"/>
          <w:sz w:val="24"/>
          <w:szCs w:val="24"/>
        </w:rPr>
      </w:pPr>
      <w:r w:rsidRPr="00745764">
        <w:rPr>
          <w:rFonts w:ascii="Times New Roman" w:eastAsia="Times New Roman" w:hAnsi="Times New Roman" w:cs="Times New Roman"/>
          <w:sz w:val="24"/>
          <w:szCs w:val="24"/>
        </w:rPr>
        <w:t>ISTUNGI PROTOKOLL</w:t>
      </w:r>
    </w:p>
    <w:p w14:paraId="69442C3C" w14:textId="77777777" w:rsidR="00FD3C96" w:rsidRPr="00745764" w:rsidRDefault="00FD3C96" w:rsidP="00FD3C96">
      <w:pPr>
        <w:spacing w:after="0" w:line="240" w:lineRule="auto"/>
        <w:jc w:val="both"/>
        <w:rPr>
          <w:rFonts w:ascii="Times New Roman" w:eastAsia="Times New Roman" w:hAnsi="Times New Roman" w:cs="Times New Roman"/>
          <w:sz w:val="24"/>
          <w:szCs w:val="24"/>
        </w:rPr>
      </w:pPr>
    </w:p>
    <w:p w14:paraId="7761E0AC" w14:textId="77777777" w:rsidR="00FD3C96" w:rsidRDefault="00FD3C96" w:rsidP="00FD3C96">
      <w:pPr>
        <w:spacing w:after="0" w:line="240" w:lineRule="auto"/>
        <w:jc w:val="both"/>
        <w:textAlignment w:val="baseline"/>
        <w:rPr>
          <w:rFonts w:ascii="Times New Roman" w:eastAsia="Times New Roman" w:hAnsi="Times New Roman" w:cs="Times New Roman"/>
          <w:sz w:val="24"/>
          <w:szCs w:val="24"/>
        </w:rPr>
      </w:pPr>
      <w:r w:rsidRPr="6F1067F5">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6F1067F5">
        <w:rPr>
          <w:rFonts w:ascii="Times New Roman" w:eastAsia="Times New Roman" w:hAnsi="Times New Roman" w:cs="Times New Roman"/>
          <w:sz w:val="24"/>
          <w:szCs w:val="24"/>
        </w:rPr>
        <w:t>juuni 2024. a nr 12</w:t>
      </w:r>
    </w:p>
    <w:p w14:paraId="00F50F63" w14:textId="77777777" w:rsidR="00FD3C96" w:rsidRDefault="00FD3C96" w:rsidP="00FD3C96">
      <w:pPr>
        <w:spacing w:after="0" w:line="240" w:lineRule="auto"/>
        <w:jc w:val="both"/>
        <w:textAlignment w:val="baseline"/>
        <w:rPr>
          <w:rFonts w:ascii="Times New Roman" w:eastAsia="Times New Roman" w:hAnsi="Times New Roman" w:cs="Times New Roman"/>
          <w:sz w:val="24"/>
          <w:szCs w:val="24"/>
        </w:rPr>
      </w:pPr>
    </w:p>
    <w:p w14:paraId="545C07D4" w14:textId="77777777" w:rsidR="00FD3C96" w:rsidRPr="00745764" w:rsidRDefault="00FD3C96" w:rsidP="00FD3C96">
      <w:pPr>
        <w:spacing w:after="0" w:line="240" w:lineRule="auto"/>
        <w:jc w:val="both"/>
        <w:textAlignment w:val="baseline"/>
        <w:rPr>
          <w:rFonts w:ascii="Times New Roman" w:eastAsia="Times New Roman" w:hAnsi="Times New Roman" w:cs="Times New Roman"/>
          <w:sz w:val="24"/>
          <w:szCs w:val="24"/>
        </w:rPr>
      </w:pPr>
      <w:r w:rsidRPr="00745764">
        <w:rPr>
          <w:rFonts w:ascii="Times New Roman" w:eastAsia="Times New Roman" w:hAnsi="Times New Roman" w:cs="Times New Roman"/>
          <w:sz w:val="24"/>
          <w:szCs w:val="24"/>
        </w:rPr>
        <w:t>Tallinn</w:t>
      </w:r>
    </w:p>
    <w:p w14:paraId="49CF5D05" w14:textId="77777777" w:rsidR="00DF50AB" w:rsidRDefault="00DF50AB"/>
    <w:p w14:paraId="1B84A5AE" w14:textId="77777777" w:rsidR="00FD3C96" w:rsidRPr="00FD3C96" w:rsidRDefault="00FD3C96" w:rsidP="00FD3C96">
      <w:pPr>
        <w:pStyle w:val="Heading2"/>
        <w:spacing w:before="0"/>
        <w:rPr>
          <w:rFonts w:ascii="Times New Roman" w:hAnsi="Times New Roman" w:cs="Times New Roman"/>
          <w:b/>
          <w:bCs/>
          <w:color w:val="auto"/>
          <w:sz w:val="24"/>
          <w:szCs w:val="24"/>
        </w:rPr>
      </w:pPr>
      <w:bookmarkStart w:id="0" w:name="_Toc169597936"/>
      <w:r w:rsidRPr="00FD3C96">
        <w:rPr>
          <w:rFonts w:ascii="Times New Roman" w:hAnsi="Times New Roman" w:cs="Times New Roman"/>
          <w:b/>
          <w:bCs/>
          <w:color w:val="auto"/>
          <w:sz w:val="24"/>
          <w:szCs w:val="24"/>
        </w:rPr>
        <w:t>6.6 Juristi tegutsemisest advokaadibüroos</w:t>
      </w:r>
      <w:bookmarkEnd w:id="0"/>
    </w:p>
    <w:p w14:paraId="4AD4B5E3" w14:textId="77777777" w:rsidR="00FD3C96" w:rsidRDefault="00FD3C96" w:rsidP="00FD3C96">
      <w:pPr>
        <w:spacing w:after="0"/>
      </w:pPr>
    </w:p>
    <w:p w14:paraId="5D52AFB6"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40 lg 3 sätestab, et advokaadibüroo kaudu või vahendusel ei või õigusteenust osutada isikud, kes ei ole advokatuuri liikmed, välja arvatud patendivolinikud </w:t>
      </w: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40 lõikes 4 sätestatud tingimustel. </w:t>
      </w: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55 lg 2 kohaselt ei või advokaadibüroo pidaja volitada kliendile õigusteenust osutama advokaadibüroo töötajat, kes ei ole advokaat, ega anda </w:t>
      </w:r>
      <w:proofErr w:type="spellStart"/>
      <w:r w:rsidRPr="00913278">
        <w:rPr>
          <w:rFonts w:ascii="Times New Roman" w:eastAsia="Times New Roman" w:hAnsi="Times New Roman" w:cs="Times New Roman"/>
          <w:color w:val="000000" w:themeColor="text1"/>
          <w:sz w:val="24"/>
          <w:szCs w:val="24"/>
        </w:rPr>
        <w:t>ühisvolitust</w:t>
      </w:r>
      <w:proofErr w:type="spellEnd"/>
      <w:r w:rsidRPr="00913278">
        <w:rPr>
          <w:rFonts w:ascii="Times New Roman" w:eastAsia="Times New Roman" w:hAnsi="Times New Roman" w:cs="Times New Roman"/>
          <w:color w:val="000000" w:themeColor="text1"/>
          <w:sz w:val="24"/>
          <w:szCs w:val="24"/>
        </w:rPr>
        <w:t xml:space="preserve"> õigusteenuse osutamiseks advokaadile ja isikule, kes ei ole advokaat. </w:t>
      </w: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40 lg 1 kohaselt on õigusteenus kutsetegevusena õigusnõustamine, isiku esindamine või kaitsmine kohtus, kohtueelses menetluses või mujal ning isikule dokumendi koostamine ja tema huvides muu õigustoimingu tegemine. </w:t>
      </w:r>
    </w:p>
    <w:p w14:paraId="482BC8AF"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52BECD2C"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3074E668">
        <w:rPr>
          <w:rFonts w:ascii="Times New Roman" w:eastAsia="Times New Roman" w:hAnsi="Times New Roman" w:cs="Times New Roman"/>
          <w:color w:val="000000" w:themeColor="text1"/>
          <w:sz w:val="24"/>
          <w:szCs w:val="24"/>
        </w:rPr>
        <w:t xml:space="preserve">Nimetatud normide pinnal on tekkinud praktikas küsimused seoses sellega, millistel tingimustel võivad juristid osaleda õigusteenuse osutamisel advokaadibüroo klientidele ja millistel tingimustel võib büroo seda kajastada (nt büroo kodulehel, meedias vm), samuti seoses sellega, kas ja millistel tingimustel kajastada juristi tööd õigusteenuse eest esitataval arvel ja kas juristi töö eest makstav tasu on käsitletav menetluskuluna, mille hüvitamist saab kohtumenetlustes nõuda. </w:t>
      </w:r>
    </w:p>
    <w:p w14:paraId="7CD1E487"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1B38FD31"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3074E668">
        <w:rPr>
          <w:rFonts w:ascii="Times New Roman" w:eastAsia="Times New Roman" w:hAnsi="Times New Roman" w:cs="Times New Roman"/>
          <w:color w:val="000000" w:themeColor="text1"/>
          <w:sz w:val="24"/>
          <w:szCs w:val="24"/>
        </w:rPr>
        <w:t>Juhatus on palunud eetika- ja metoodikakomisjonil (EMK) eeltoodud küsimusi analüüsida. EMK on esitanud juhatusele oma seisukohad.</w:t>
      </w:r>
    </w:p>
    <w:p w14:paraId="7455F4E0" w14:textId="77777777" w:rsidR="00FD3C96" w:rsidRDefault="00FD3C96" w:rsidP="00FD3C96">
      <w:pPr>
        <w:spacing w:after="0"/>
        <w:jc w:val="both"/>
        <w:rPr>
          <w:rFonts w:ascii="Times New Roman" w:eastAsia="Times New Roman" w:hAnsi="Times New Roman" w:cs="Times New Roman"/>
          <w:color w:val="000000" w:themeColor="text1"/>
          <w:sz w:val="24"/>
          <w:szCs w:val="24"/>
        </w:rPr>
      </w:pPr>
    </w:p>
    <w:p w14:paraId="20A0186F"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00913278">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913278">
        <w:rPr>
          <w:rFonts w:ascii="Times New Roman" w:eastAsia="Times New Roman" w:hAnsi="Times New Roman" w:cs="Times New Roman"/>
          <w:color w:val="000000" w:themeColor="text1"/>
          <w:sz w:val="24"/>
          <w:szCs w:val="24"/>
        </w:rPr>
        <w:t>Juristi osalemisest õigusteenuse osutamisel</w:t>
      </w:r>
      <w:r>
        <w:rPr>
          <w:rFonts w:ascii="Times New Roman" w:eastAsia="Times New Roman" w:hAnsi="Times New Roman" w:cs="Times New Roman"/>
          <w:color w:val="000000" w:themeColor="text1"/>
          <w:sz w:val="24"/>
          <w:szCs w:val="24"/>
        </w:rPr>
        <w:t xml:space="preserve"> </w:t>
      </w:r>
    </w:p>
    <w:p w14:paraId="38D612E5"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079FBA5B"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00913278">
        <w:rPr>
          <w:rFonts w:ascii="Times New Roman" w:eastAsia="Times New Roman" w:hAnsi="Times New Roman" w:cs="Times New Roman"/>
          <w:color w:val="000000" w:themeColor="text1"/>
          <w:sz w:val="24"/>
          <w:szCs w:val="24"/>
        </w:rPr>
        <w:t xml:space="preserve">EMK leiab, et seisukoha kujundamisel tuleb lähtuda </w:t>
      </w: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40 </w:t>
      </w:r>
      <w:proofErr w:type="spellStart"/>
      <w:r w:rsidRPr="00913278">
        <w:rPr>
          <w:rFonts w:ascii="Times New Roman" w:eastAsia="Times New Roman" w:hAnsi="Times New Roman" w:cs="Times New Roman"/>
          <w:color w:val="000000" w:themeColor="text1"/>
          <w:sz w:val="24"/>
          <w:szCs w:val="24"/>
        </w:rPr>
        <w:t>lg-st</w:t>
      </w:r>
      <w:proofErr w:type="spellEnd"/>
      <w:r w:rsidRPr="00913278">
        <w:rPr>
          <w:rFonts w:ascii="Times New Roman" w:eastAsia="Times New Roman" w:hAnsi="Times New Roman" w:cs="Times New Roman"/>
          <w:color w:val="000000" w:themeColor="text1"/>
          <w:sz w:val="24"/>
          <w:szCs w:val="24"/>
        </w:rPr>
        <w:t xml:space="preserve"> 3 ning nimetatud sätte kohaldamist käsitlevatest aukohtu lahenditest.</w:t>
      </w:r>
      <w:r>
        <w:rPr>
          <w:rFonts w:ascii="Times New Roman" w:eastAsia="Times New Roman" w:hAnsi="Times New Roman" w:cs="Times New Roman"/>
          <w:color w:val="000000" w:themeColor="text1"/>
          <w:sz w:val="24"/>
          <w:szCs w:val="24"/>
        </w:rPr>
        <w:t xml:space="preserve"> </w:t>
      </w:r>
      <w:r w:rsidRPr="00913278">
        <w:rPr>
          <w:rFonts w:ascii="Times New Roman" w:eastAsia="Times New Roman" w:hAnsi="Times New Roman" w:cs="Times New Roman"/>
          <w:color w:val="000000" w:themeColor="text1"/>
          <w:sz w:val="24"/>
          <w:szCs w:val="24"/>
        </w:rPr>
        <w:t xml:space="preserve">Seoses juristi tööga advokaadibüroos tõi EMK välja järgmised aukohtu lahendid: </w:t>
      </w:r>
    </w:p>
    <w:p w14:paraId="15BCDC66"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095FF665"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3074E668">
        <w:rPr>
          <w:rFonts w:ascii="Times New Roman" w:eastAsia="Times New Roman" w:hAnsi="Times New Roman" w:cs="Times New Roman"/>
          <w:color w:val="000000" w:themeColor="text1"/>
          <w:sz w:val="24"/>
          <w:szCs w:val="24"/>
        </w:rPr>
        <w:t xml:space="preserve">Aukohus selgitas 13.04.2023 lahendis, et aukohtu hinnangul on tavapärane, et suuremates advokaadibüroodes toimub kliendile teenuse osutamine meeskonnas . Aukohtu hinnangul tähendab see näiteks, et dokumendi esmase projekti koostab jurist ning kliendile õigusteenuse osutamise eest vastutav advokaat vaatab selle üle, vajadusel täiendab ja esitab enda nimel adressaadile. </w:t>
      </w:r>
    </w:p>
    <w:p w14:paraId="417C4327"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57290D6D"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00913278">
        <w:rPr>
          <w:rFonts w:ascii="Times New Roman" w:eastAsia="Times New Roman" w:hAnsi="Times New Roman" w:cs="Times New Roman"/>
          <w:color w:val="000000" w:themeColor="text1"/>
          <w:sz w:val="24"/>
          <w:szCs w:val="24"/>
        </w:rPr>
        <w:t xml:space="preserve">Aukohus on 07.04.2022 lahendis advokaadile ette heitnud olukorda, kus advokaadibüroo juhatuse liige ehk töötaja, kes ei ole advokaat, edastas kliendi esindajana nõudekirja. Nõudekirja lõppu oli märgitud, et juhatuse liige on kliendi volitatud esindaja. Nõudekirja koostamist ja esitamist on aukohus pidanud õigusteenuse osutamiseks. Sellist tegevust on aukohus pidanud </w:t>
      </w: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55 </w:t>
      </w:r>
      <w:proofErr w:type="spellStart"/>
      <w:r w:rsidRPr="00913278">
        <w:rPr>
          <w:rFonts w:ascii="Times New Roman" w:eastAsia="Times New Roman" w:hAnsi="Times New Roman" w:cs="Times New Roman"/>
          <w:color w:val="000000" w:themeColor="text1"/>
          <w:sz w:val="24"/>
          <w:szCs w:val="24"/>
        </w:rPr>
        <w:t>lg-s</w:t>
      </w:r>
      <w:proofErr w:type="spellEnd"/>
      <w:r w:rsidRPr="00913278">
        <w:rPr>
          <w:rFonts w:ascii="Times New Roman" w:eastAsia="Times New Roman" w:hAnsi="Times New Roman" w:cs="Times New Roman"/>
          <w:color w:val="000000" w:themeColor="text1"/>
          <w:sz w:val="24"/>
          <w:szCs w:val="24"/>
        </w:rPr>
        <w:t xml:space="preserve"> 2 sätestatud kohustuse rikkumiseks. </w:t>
      </w:r>
    </w:p>
    <w:p w14:paraId="5CF4FBC4"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3D6B80FE"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00913278">
        <w:rPr>
          <w:rFonts w:ascii="Times New Roman" w:eastAsia="Times New Roman" w:hAnsi="Times New Roman" w:cs="Times New Roman"/>
          <w:color w:val="000000" w:themeColor="text1"/>
          <w:sz w:val="24"/>
          <w:szCs w:val="24"/>
        </w:rPr>
        <w:lastRenderedPageBreak/>
        <w:t xml:space="preserve">Aukohus on 17.01.2019 lahendis selgitanud, et tehniliste ülesannete täitmine (dokumentide ja teabe edastamine, konkreetsel juhul kohtule e-kirja saatmine ja menetlusdokumentide edastamine) advokaadibüroo töötaja poolt ei ole keelatud ega vastuolus </w:t>
      </w: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40 </w:t>
      </w:r>
      <w:proofErr w:type="spellStart"/>
      <w:r w:rsidRPr="00913278">
        <w:rPr>
          <w:rFonts w:ascii="Times New Roman" w:eastAsia="Times New Roman" w:hAnsi="Times New Roman" w:cs="Times New Roman"/>
          <w:color w:val="000000" w:themeColor="text1"/>
          <w:sz w:val="24"/>
          <w:szCs w:val="24"/>
        </w:rPr>
        <w:t>lg-s</w:t>
      </w:r>
      <w:proofErr w:type="spellEnd"/>
      <w:r w:rsidRPr="00913278">
        <w:rPr>
          <w:rFonts w:ascii="Times New Roman" w:eastAsia="Times New Roman" w:hAnsi="Times New Roman" w:cs="Times New Roman"/>
          <w:color w:val="000000" w:themeColor="text1"/>
          <w:sz w:val="24"/>
          <w:szCs w:val="24"/>
        </w:rPr>
        <w:t xml:space="preserve"> 3 sätestatud keeluga.</w:t>
      </w:r>
    </w:p>
    <w:p w14:paraId="6040749A"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23C61A1A"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00913278">
        <w:rPr>
          <w:rFonts w:ascii="Times New Roman" w:eastAsia="Times New Roman" w:hAnsi="Times New Roman" w:cs="Times New Roman"/>
          <w:color w:val="000000" w:themeColor="text1"/>
          <w:sz w:val="24"/>
          <w:szCs w:val="24"/>
        </w:rPr>
        <w:t xml:space="preserve">EMK hinnangul ei võimalda </w:t>
      </w: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40 lg 3 isikutel, kes ei ole advokatuuri liikmed, advokaadibüroo kaudu ja vahendusel õigusteenuse osutamist. </w:t>
      </w: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40 lg 1 kohaselt on õigusteenuse osutamisega tegemist juhul, kui isik tegeleb kutsetegevusena õigusnõustamisega, kliendi esindamise või kaitsmisega kohtus, kohtueelses menetluses või mujal ning isikule dokumendi koostamise ja tema huvides muu õigustoimingu osutamisega.</w:t>
      </w:r>
    </w:p>
    <w:p w14:paraId="01E42F57"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29F8D28E"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EMK</w:t>
      </w:r>
      <w:r w:rsidRPr="00913278">
        <w:rPr>
          <w:rFonts w:ascii="Times New Roman" w:eastAsia="Times New Roman" w:hAnsi="Times New Roman" w:cs="Times New Roman"/>
          <w:color w:val="000000" w:themeColor="text1"/>
          <w:sz w:val="24"/>
          <w:szCs w:val="24"/>
        </w:rPr>
        <w:t xml:space="preserve"> ei loe seadusega vastuolus olevaks, kui</w:t>
      </w:r>
      <w:r>
        <w:rPr>
          <w:rFonts w:ascii="Times New Roman" w:eastAsia="Times New Roman" w:hAnsi="Times New Roman" w:cs="Times New Roman"/>
          <w:color w:val="000000" w:themeColor="text1"/>
          <w:sz w:val="24"/>
          <w:szCs w:val="24"/>
        </w:rPr>
        <w:t xml:space="preserve"> </w:t>
      </w:r>
      <w:r w:rsidRPr="00913278">
        <w:rPr>
          <w:rFonts w:ascii="Times New Roman" w:eastAsia="Times New Roman" w:hAnsi="Times New Roman" w:cs="Times New Roman"/>
          <w:color w:val="000000" w:themeColor="text1"/>
          <w:sz w:val="24"/>
          <w:szCs w:val="24"/>
        </w:rPr>
        <w:t xml:space="preserve">advokaadibüroo töötaja, sh jurist, suhtleb kliendiga otse, ilma advokaadi vahenduseta, kuid sellise suhtluse sisu ei või sisaldada ükskõik millises vormis õigusteenuse osutamist. Kliendile peab olema advokaadibüroo töötajaga suhtlemisel selge, et advokaadibüroo töötaja ei osuta talle õigusteenust, vaid abistab advokaati võetud ülesande täitmisel. Seega võib asuda seisukohale, et suhtluse vastavus </w:t>
      </w:r>
      <w:proofErr w:type="spellStart"/>
      <w:r w:rsidRPr="00913278">
        <w:rPr>
          <w:rFonts w:ascii="Times New Roman" w:eastAsia="Times New Roman" w:hAnsi="Times New Roman" w:cs="Times New Roman"/>
          <w:color w:val="000000" w:themeColor="text1"/>
          <w:sz w:val="24"/>
          <w:szCs w:val="24"/>
        </w:rPr>
        <w:t>AdvS</w:t>
      </w:r>
      <w:proofErr w:type="spellEnd"/>
      <w:r w:rsidRPr="00913278">
        <w:rPr>
          <w:rFonts w:ascii="Times New Roman" w:eastAsia="Times New Roman" w:hAnsi="Times New Roman" w:cs="Times New Roman"/>
          <w:color w:val="000000" w:themeColor="text1"/>
          <w:sz w:val="24"/>
          <w:szCs w:val="24"/>
        </w:rPr>
        <w:t xml:space="preserve"> § 40 lg 1 ja lg 3 sõltub kliendile edastatava kirja või tehtava toimingu sisust ja eesmärgist. </w:t>
      </w:r>
    </w:p>
    <w:p w14:paraId="49B26309"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5B8E2BC1"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00913278">
        <w:rPr>
          <w:rFonts w:ascii="Times New Roman" w:eastAsia="Times New Roman" w:hAnsi="Times New Roman" w:cs="Times New Roman"/>
          <w:color w:val="000000" w:themeColor="text1"/>
          <w:sz w:val="24"/>
          <w:szCs w:val="24"/>
        </w:rPr>
        <w:t>Komisjoni hinnangul on juristi pädevuses advokaadi abistamine eelkõige õigusteenuse osutamisele eelnevas tööetapis. Sellesse tööetappi võiks arvata näiteks järgmised toimingud: õiguslike probleemide kaardistamine, andmekorje ja -analüüs, materjalide komplekteerimine, suhtlus kliendiga mitteõiguslikel teemadel, kohtupraktika ja seadusandluse analüüs, esialgse dokumendi projekti koostamine jms. Komisjon leiab, et ei ole võimalik anda ammendavat loetelu töödest, mida jurist advokaadibüroos teha võib, kuivõrd õigusteenuse sisu võib õigusvaldkondades ja -harudes</w:t>
      </w:r>
      <w:r>
        <w:rPr>
          <w:rFonts w:ascii="Times New Roman" w:eastAsia="Times New Roman" w:hAnsi="Times New Roman" w:cs="Times New Roman"/>
          <w:color w:val="000000" w:themeColor="text1"/>
          <w:sz w:val="24"/>
          <w:szCs w:val="24"/>
        </w:rPr>
        <w:t xml:space="preserve"> </w:t>
      </w:r>
      <w:r w:rsidRPr="00913278">
        <w:rPr>
          <w:rFonts w:ascii="Times New Roman" w:eastAsia="Times New Roman" w:hAnsi="Times New Roman" w:cs="Times New Roman"/>
          <w:color w:val="000000" w:themeColor="text1"/>
          <w:sz w:val="24"/>
          <w:szCs w:val="24"/>
        </w:rPr>
        <w:t>oluliselt erineda.</w:t>
      </w:r>
    </w:p>
    <w:p w14:paraId="783182FF"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1E7B6275"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00913278">
        <w:rPr>
          <w:rFonts w:ascii="Times New Roman" w:eastAsia="Times New Roman" w:hAnsi="Times New Roman" w:cs="Times New Roman"/>
          <w:color w:val="000000" w:themeColor="text1"/>
          <w:sz w:val="24"/>
          <w:szCs w:val="24"/>
        </w:rPr>
        <w:t>Seoses advokaadibüroos töötava juristi töö kajastamisega juhtis EMK oma a</w:t>
      </w:r>
      <w:r>
        <w:rPr>
          <w:rFonts w:ascii="Times New Roman" w:eastAsia="Times New Roman" w:hAnsi="Times New Roman" w:cs="Times New Roman"/>
          <w:color w:val="000000" w:themeColor="text1"/>
          <w:sz w:val="24"/>
          <w:szCs w:val="24"/>
        </w:rPr>
        <w:t>rvamuses</w:t>
      </w:r>
      <w:r w:rsidRPr="00913278">
        <w:rPr>
          <w:rFonts w:ascii="Times New Roman" w:eastAsia="Times New Roman" w:hAnsi="Times New Roman" w:cs="Times New Roman"/>
          <w:color w:val="000000" w:themeColor="text1"/>
          <w:sz w:val="24"/>
          <w:szCs w:val="24"/>
        </w:rPr>
        <w:t xml:space="preserve"> tähelepanu järgmistele aukohtu lahenditele: </w:t>
      </w:r>
    </w:p>
    <w:p w14:paraId="7E7CD2AE"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15AB558C"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4098F02C">
        <w:rPr>
          <w:rFonts w:ascii="Times New Roman" w:eastAsia="Times New Roman" w:hAnsi="Times New Roman" w:cs="Times New Roman"/>
          <w:color w:val="000000" w:themeColor="text1"/>
          <w:sz w:val="24"/>
          <w:szCs w:val="24"/>
        </w:rPr>
        <w:t xml:space="preserve">Aukohus heitis 18.02.2021 lahendis advokaadile ette olukorda, kus advokaadibüroo töökuulutusest juristi leidmiseks nähtub juristi töö sisuna mh advokaadibüroo klientidele õigusabi osutamine ja nende esindamine. Menetluses selgus, et juristile oli väljastatud ka volitus, millise kohaselt on juristil mh õigus esindada klienti notaris, </w:t>
      </w:r>
      <w:proofErr w:type="spellStart"/>
      <w:r w:rsidRPr="4098F02C">
        <w:rPr>
          <w:rFonts w:ascii="Times New Roman" w:eastAsia="Times New Roman" w:hAnsi="Times New Roman" w:cs="Times New Roman"/>
          <w:color w:val="000000" w:themeColor="text1"/>
          <w:sz w:val="24"/>
          <w:szCs w:val="24"/>
        </w:rPr>
        <w:t>MTA-s</w:t>
      </w:r>
      <w:proofErr w:type="spellEnd"/>
      <w:r w:rsidRPr="4098F02C">
        <w:rPr>
          <w:rFonts w:ascii="Times New Roman" w:eastAsia="Times New Roman" w:hAnsi="Times New Roman" w:cs="Times New Roman"/>
          <w:color w:val="000000" w:themeColor="text1"/>
          <w:sz w:val="24"/>
          <w:szCs w:val="24"/>
        </w:rPr>
        <w:t xml:space="preserve"> ja kõikides menetlustes, vaidlustada MTA otsuseid, esindada äriühingu huvisid kõikides riiklike maksudega seotud institutsioonides jne. Aukohtu hinnangul ei ole selline töökuulutus ega volitus kooskõlas seadusega.</w:t>
      </w:r>
    </w:p>
    <w:p w14:paraId="68FDAAE8"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66927852"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4098F02C">
        <w:rPr>
          <w:rFonts w:ascii="Times New Roman" w:eastAsia="Times New Roman" w:hAnsi="Times New Roman" w:cs="Times New Roman"/>
          <w:color w:val="000000" w:themeColor="text1"/>
          <w:sz w:val="24"/>
          <w:szCs w:val="24"/>
        </w:rPr>
        <w:t>Aukohus selgitas 07.12.2017 lahendis, et lisaks sellele, et büroopidajal tuleb korraldada oma tegevus selliselt, et klientidele ei osutaks advokaadibüroo vahendusel õigusteenust isikud, kes ei ole advokaadid, tuleb büroopidajal tagada ka see, et kolmandatel isikutel ei tekiks muljet, justkui osutaks õigusteenust büroo töötaja, kes ei ole advokaat.</w:t>
      </w:r>
    </w:p>
    <w:p w14:paraId="1C1ECD2A"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64B182E5"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r w:rsidRPr="00913278">
        <w:rPr>
          <w:rFonts w:ascii="Times New Roman" w:eastAsia="Times New Roman" w:hAnsi="Times New Roman" w:cs="Times New Roman"/>
          <w:color w:val="000000" w:themeColor="text1"/>
          <w:sz w:val="24"/>
          <w:szCs w:val="24"/>
        </w:rPr>
        <w:t>Aukohus selgitas 21.01.2016 lahendis, et seadusega ei ole kooskõlas olukord, kus kliendi nimel allkirjastab ja edastab registripidajale taotluse advokaadibüroo jurist.</w:t>
      </w:r>
    </w:p>
    <w:p w14:paraId="08F785B4" w14:textId="77777777" w:rsidR="00FD3C96" w:rsidRPr="00913278" w:rsidRDefault="00FD3C96" w:rsidP="00FD3C96">
      <w:pPr>
        <w:spacing w:after="0"/>
        <w:jc w:val="both"/>
        <w:rPr>
          <w:rFonts w:ascii="Times New Roman" w:eastAsia="Times New Roman" w:hAnsi="Times New Roman" w:cs="Times New Roman"/>
          <w:color w:val="000000" w:themeColor="text1"/>
          <w:sz w:val="24"/>
          <w:szCs w:val="24"/>
        </w:rPr>
      </w:pPr>
    </w:p>
    <w:p w14:paraId="1AD0FD32" w14:textId="77777777" w:rsidR="00FD3C96" w:rsidRDefault="00FD3C96" w:rsidP="00FD3C96">
      <w:pPr>
        <w:spacing w:after="0"/>
        <w:jc w:val="both"/>
        <w:rPr>
          <w:rFonts w:ascii="Times New Roman" w:eastAsia="Times New Roman" w:hAnsi="Times New Roman" w:cs="Times New Roman"/>
          <w:color w:val="000000" w:themeColor="text1"/>
          <w:sz w:val="24"/>
          <w:szCs w:val="24"/>
        </w:rPr>
      </w:pPr>
      <w:r w:rsidRPr="4098F02C">
        <w:rPr>
          <w:rFonts w:ascii="Times New Roman" w:eastAsia="Times New Roman" w:hAnsi="Times New Roman" w:cs="Times New Roman"/>
          <w:color w:val="000000" w:themeColor="text1"/>
          <w:sz w:val="24"/>
          <w:szCs w:val="24"/>
        </w:rPr>
        <w:t xml:space="preserve">EMK on seisukohal, et teatud juhtudel on võimalik kajastada juristi osalust klienditöödes, kuid informatsiooni adressaadile peab olema üheselt selge, et advokaadibüroo jurist ei osuta </w:t>
      </w:r>
      <w:r w:rsidRPr="4098F02C">
        <w:rPr>
          <w:rFonts w:ascii="Times New Roman" w:eastAsia="Times New Roman" w:hAnsi="Times New Roman" w:cs="Times New Roman"/>
          <w:color w:val="000000" w:themeColor="text1"/>
          <w:sz w:val="24"/>
          <w:szCs w:val="24"/>
        </w:rPr>
        <w:lastRenderedPageBreak/>
        <w:t>õigusteenust iseseisvalt. Juristi töö kirjeldamisel büroo töökuulutuses peab olema üheselt arusaadav, et juristi töökohale kandideeriv inimene ei saa osutada advokaadibüroos õigusteenust, vaid juristi tööülesannete sisu on advokaadi töö ettevalmistamine ning toetamine õigusteenuse osutamisel.</w:t>
      </w:r>
    </w:p>
    <w:p w14:paraId="5E8E207C" w14:textId="77777777" w:rsidR="00FD3C96" w:rsidRDefault="00FD3C96" w:rsidP="00FD3C96">
      <w:pPr>
        <w:spacing w:after="0"/>
        <w:jc w:val="both"/>
        <w:rPr>
          <w:rFonts w:ascii="Times New Roman" w:eastAsia="Times New Roman" w:hAnsi="Times New Roman" w:cs="Times New Roman"/>
          <w:color w:val="000000" w:themeColor="text1"/>
          <w:sz w:val="24"/>
          <w:szCs w:val="24"/>
        </w:rPr>
      </w:pPr>
    </w:p>
    <w:p w14:paraId="0D810D2A" w14:textId="77777777" w:rsidR="00FD3C96" w:rsidRPr="00296023" w:rsidRDefault="00FD3C96" w:rsidP="00FD3C96">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Pr="00296023">
        <w:rPr>
          <w:rFonts w:ascii="Times New Roman" w:eastAsia="Times New Roman" w:hAnsi="Times New Roman" w:cs="Times New Roman"/>
          <w:color w:val="000000" w:themeColor="text1"/>
          <w:sz w:val="24"/>
          <w:szCs w:val="24"/>
        </w:rPr>
        <w:t xml:space="preserve">Juristi töö </w:t>
      </w:r>
      <w:r>
        <w:rPr>
          <w:rFonts w:ascii="Times New Roman" w:eastAsia="Times New Roman" w:hAnsi="Times New Roman" w:cs="Times New Roman"/>
          <w:color w:val="000000" w:themeColor="text1"/>
          <w:sz w:val="24"/>
          <w:szCs w:val="24"/>
        </w:rPr>
        <w:t xml:space="preserve">kajastamisest õigusteenuse arvel ja juristi töö eest makstava tasu arvestamisest </w:t>
      </w:r>
      <w:r w:rsidRPr="00296023">
        <w:rPr>
          <w:rFonts w:ascii="Times New Roman" w:eastAsia="Times New Roman" w:hAnsi="Times New Roman" w:cs="Times New Roman"/>
          <w:color w:val="000000" w:themeColor="text1"/>
          <w:sz w:val="24"/>
          <w:szCs w:val="24"/>
        </w:rPr>
        <w:t>menetluskuluna</w:t>
      </w:r>
      <w:r>
        <w:rPr>
          <w:rFonts w:ascii="Times New Roman" w:eastAsia="Times New Roman" w:hAnsi="Times New Roman" w:cs="Times New Roman"/>
          <w:color w:val="000000" w:themeColor="text1"/>
          <w:sz w:val="24"/>
          <w:szCs w:val="24"/>
        </w:rPr>
        <w:t>.</w:t>
      </w:r>
    </w:p>
    <w:p w14:paraId="2AE2CF1D" w14:textId="77777777" w:rsidR="00FD3C96" w:rsidRPr="00F37FAD" w:rsidRDefault="00FD3C96" w:rsidP="00FD3C96">
      <w:pPr>
        <w:pStyle w:val="ListParagraph"/>
        <w:spacing w:after="0"/>
        <w:jc w:val="both"/>
        <w:rPr>
          <w:rFonts w:ascii="Times New Roman" w:eastAsia="Times New Roman" w:hAnsi="Times New Roman" w:cs="Times New Roman"/>
          <w:color w:val="000000" w:themeColor="text1"/>
          <w:sz w:val="24"/>
          <w:szCs w:val="24"/>
        </w:rPr>
      </w:pPr>
    </w:p>
    <w:p w14:paraId="5A30509E" w14:textId="77777777" w:rsidR="00FD3C96" w:rsidRDefault="00FD3C96" w:rsidP="00FD3C96">
      <w:pPr>
        <w:spacing w:after="0"/>
        <w:jc w:val="both"/>
        <w:rPr>
          <w:rFonts w:ascii="Times New Roman" w:eastAsia="Times New Roman" w:hAnsi="Times New Roman" w:cs="Times New Roman"/>
          <w:color w:val="000000" w:themeColor="text1"/>
          <w:sz w:val="24"/>
          <w:szCs w:val="24"/>
        </w:rPr>
      </w:pPr>
      <w:proofErr w:type="spellStart"/>
      <w:r w:rsidRPr="00740081">
        <w:rPr>
          <w:rFonts w:ascii="Times New Roman" w:eastAsia="Times New Roman" w:hAnsi="Times New Roman" w:cs="Times New Roman"/>
          <w:color w:val="000000" w:themeColor="text1"/>
          <w:sz w:val="24"/>
          <w:szCs w:val="24"/>
        </w:rPr>
        <w:t>AdvS</w:t>
      </w:r>
      <w:proofErr w:type="spellEnd"/>
      <w:r w:rsidRPr="00740081">
        <w:rPr>
          <w:rFonts w:ascii="Times New Roman" w:eastAsia="Times New Roman" w:hAnsi="Times New Roman" w:cs="Times New Roman"/>
          <w:color w:val="000000" w:themeColor="text1"/>
          <w:sz w:val="24"/>
          <w:szCs w:val="24"/>
        </w:rPr>
        <w:t xml:space="preserve"> § 63 </w:t>
      </w:r>
      <w:r>
        <w:rPr>
          <w:rFonts w:ascii="Times New Roman" w:eastAsia="Times New Roman" w:hAnsi="Times New Roman" w:cs="Times New Roman"/>
          <w:color w:val="000000" w:themeColor="text1"/>
          <w:sz w:val="24"/>
          <w:szCs w:val="24"/>
        </w:rPr>
        <w:t>kohaselt on</w:t>
      </w:r>
      <w:r w:rsidRPr="00740081">
        <w:rPr>
          <w:rFonts w:ascii="Times New Roman" w:eastAsia="Times New Roman" w:hAnsi="Times New Roman" w:cs="Times New Roman"/>
          <w:color w:val="000000" w:themeColor="text1"/>
          <w:sz w:val="24"/>
          <w:szCs w:val="24"/>
        </w:rPr>
        <w:t xml:space="preserve"> advokaat kohustatud kliendile andma advokaaditasu ja õigusteenuskulude kohta arve, milles on eraldi märgitud tasu ja kulude suurus</w:t>
      </w:r>
      <w:r>
        <w:rPr>
          <w:rFonts w:ascii="Times New Roman" w:eastAsia="Times New Roman" w:hAnsi="Times New Roman" w:cs="Times New Roman"/>
          <w:color w:val="000000" w:themeColor="text1"/>
          <w:sz w:val="24"/>
          <w:szCs w:val="24"/>
        </w:rPr>
        <w:t>.</w:t>
      </w:r>
    </w:p>
    <w:p w14:paraId="0A91A960" w14:textId="77777777" w:rsidR="00FD3C96" w:rsidRPr="00740081" w:rsidRDefault="00FD3C96" w:rsidP="00FD3C96">
      <w:pPr>
        <w:spacing w:after="0"/>
        <w:jc w:val="both"/>
        <w:rPr>
          <w:rFonts w:ascii="Times New Roman" w:eastAsia="Times New Roman" w:hAnsi="Times New Roman" w:cs="Times New Roman"/>
          <w:color w:val="000000" w:themeColor="text1"/>
          <w:sz w:val="24"/>
          <w:szCs w:val="24"/>
        </w:rPr>
      </w:pPr>
    </w:p>
    <w:p w14:paraId="111B718A" w14:textId="77777777" w:rsidR="00FD3C96" w:rsidRDefault="00FD3C96" w:rsidP="00FD3C96">
      <w:pPr>
        <w:spacing w:after="0"/>
        <w:jc w:val="both"/>
      </w:pPr>
      <w:r w:rsidRPr="3074E668">
        <w:rPr>
          <w:rFonts w:ascii="Times New Roman" w:eastAsia="Times New Roman" w:hAnsi="Times New Roman" w:cs="Times New Roman"/>
          <w:color w:val="000000" w:themeColor="text1"/>
          <w:sz w:val="24"/>
          <w:szCs w:val="24"/>
        </w:rPr>
        <w:t>Aukohus asus 13.04.2023 lahendis seisukohale, et advokaadibüroodes töötatakse kliendi asjadega tavapäraselt meeskonnas ning on põhjendatud ka tööde jaotamine vastavalt töötajate spetsialiseerumisele ning hiljem arve esitamine kõigi osalenud töötajate tasu eest.</w:t>
      </w:r>
    </w:p>
    <w:p w14:paraId="64DF6E4F" w14:textId="77777777" w:rsidR="00FD3C96" w:rsidRPr="00740081" w:rsidRDefault="00FD3C96" w:rsidP="00FD3C96">
      <w:pPr>
        <w:spacing w:after="0"/>
        <w:jc w:val="both"/>
        <w:rPr>
          <w:rFonts w:ascii="Times New Roman" w:eastAsia="Times New Roman" w:hAnsi="Times New Roman" w:cs="Times New Roman"/>
          <w:color w:val="000000" w:themeColor="text1"/>
          <w:sz w:val="24"/>
          <w:szCs w:val="24"/>
        </w:rPr>
      </w:pPr>
    </w:p>
    <w:p w14:paraId="6A97A8DC" w14:textId="77777777" w:rsidR="00FD3C96" w:rsidRDefault="00FD3C96" w:rsidP="00FD3C96">
      <w:pPr>
        <w:spacing w:after="0"/>
        <w:jc w:val="both"/>
        <w:rPr>
          <w:rFonts w:ascii="Times New Roman" w:eastAsia="Times New Roman" w:hAnsi="Times New Roman" w:cs="Times New Roman"/>
          <w:color w:val="000000" w:themeColor="text1"/>
          <w:sz w:val="24"/>
          <w:szCs w:val="24"/>
        </w:rPr>
      </w:pPr>
      <w:r w:rsidRPr="4098F02C">
        <w:rPr>
          <w:rFonts w:ascii="Times New Roman" w:eastAsia="Times New Roman" w:hAnsi="Times New Roman" w:cs="Times New Roman"/>
          <w:color w:val="000000" w:themeColor="text1"/>
          <w:sz w:val="24"/>
          <w:szCs w:val="24"/>
        </w:rPr>
        <w:t>EMK hinnangul peaks õigusteenust osutava advokaadi tööd toetava juristi töö ajakulu kajastuma kliendile väljastatud arvel. Selline lahendus võimaldab arvele kanda teenuse osutamise vastavalt tegelikule olukorrale ning välistab ohu, et arve spetsifikatsioon sisaldab osutatud teenusele mittevastavat teavet. Kuivõrd juristi ülesanne on õigusteenust osutavate advokaatide aitamine ja advokaadi toetamine töös, siis on põhjendatud, et juristi töö kohtusse esitatava menetlusdokumendi ettevalmistamisel oleks omistatav õigusteenust osutavale advokaadile ja kajastuks muude kulude all.</w:t>
      </w:r>
    </w:p>
    <w:p w14:paraId="5735E9CB" w14:textId="77777777" w:rsidR="00FD3C96" w:rsidRPr="00740081" w:rsidRDefault="00FD3C96" w:rsidP="00FD3C96">
      <w:pPr>
        <w:spacing w:after="0"/>
        <w:jc w:val="both"/>
        <w:rPr>
          <w:rFonts w:ascii="Times New Roman" w:eastAsia="Times New Roman" w:hAnsi="Times New Roman" w:cs="Times New Roman"/>
          <w:color w:val="000000" w:themeColor="text1"/>
          <w:sz w:val="24"/>
          <w:szCs w:val="24"/>
        </w:rPr>
      </w:pPr>
    </w:p>
    <w:p w14:paraId="4A5703D6" w14:textId="77777777" w:rsidR="00FD3C96" w:rsidRDefault="00FD3C96" w:rsidP="00FD3C96">
      <w:pPr>
        <w:spacing w:after="0"/>
        <w:jc w:val="both"/>
        <w:rPr>
          <w:rFonts w:ascii="Times New Roman" w:eastAsia="Times New Roman" w:hAnsi="Times New Roman" w:cs="Times New Roman"/>
          <w:color w:val="000000" w:themeColor="text1"/>
          <w:sz w:val="24"/>
          <w:szCs w:val="24"/>
        </w:rPr>
      </w:pPr>
      <w:r w:rsidRPr="4098F02C">
        <w:rPr>
          <w:rFonts w:ascii="Times New Roman" w:eastAsia="Times New Roman" w:hAnsi="Times New Roman" w:cs="Times New Roman"/>
          <w:color w:val="000000" w:themeColor="text1"/>
          <w:sz w:val="24"/>
          <w:szCs w:val="24"/>
        </w:rPr>
        <w:t xml:space="preserve">Seisukoha kujundamise aluseks saab võtta kohtulahendid, millistes nimetatud küsimust käsitletakse. Olulisemateks on Riigikohtu tsiviilkolleegiumi 17.04.2024 otsus asjas nr </w:t>
      </w:r>
      <w:hyperlink r:id="rId4">
        <w:r w:rsidRPr="4098F02C">
          <w:rPr>
            <w:rStyle w:val="Hyperlink"/>
            <w:rFonts w:ascii="Times New Roman" w:eastAsia="Times New Roman" w:hAnsi="Times New Roman" w:cs="Times New Roman"/>
            <w:sz w:val="24"/>
            <w:szCs w:val="24"/>
          </w:rPr>
          <w:t>2-17-124505</w:t>
        </w:r>
      </w:hyperlink>
      <w:r w:rsidRPr="4098F02C">
        <w:rPr>
          <w:rFonts w:ascii="Times New Roman" w:eastAsia="Times New Roman" w:hAnsi="Times New Roman" w:cs="Times New Roman"/>
          <w:color w:val="000000" w:themeColor="text1"/>
          <w:sz w:val="24"/>
          <w:szCs w:val="24"/>
        </w:rPr>
        <w:t xml:space="preserve">, kriminaalkolleegiumi 10.11.2022 otsus asjas nr </w:t>
      </w:r>
      <w:hyperlink r:id="rId5">
        <w:r w:rsidRPr="4098F02C">
          <w:rPr>
            <w:rStyle w:val="Hyperlink"/>
            <w:rFonts w:ascii="Times New Roman" w:eastAsia="Times New Roman" w:hAnsi="Times New Roman" w:cs="Times New Roman"/>
            <w:sz w:val="24"/>
            <w:szCs w:val="24"/>
          </w:rPr>
          <w:t>1-21-2039</w:t>
        </w:r>
      </w:hyperlink>
      <w:r w:rsidRPr="4098F02C">
        <w:rPr>
          <w:rFonts w:ascii="Times New Roman" w:eastAsia="Times New Roman" w:hAnsi="Times New Roman" w:cs="Times New Roman"/>
          <w:color w:val="000000" w:themeColor="text1"/>
          <w:sz w:val="24"/>
          <w:szCs w:val="24"/>
        </w:rPr>
        <w:t xml:space="preserve"> ning haldusasjades Tallinna Ringkonnakohtu 07.04.2015 otsus asjas nr</w:t>
      </w:r>
      <w:r>
        <w:rPr>
          <w:rFonts w:ascii="Times New Roman" w:eastAsia="Times New Roman" w:hAnsi="Times New Roman" w:cs="Times New Roman"/>
          <w:color w:val="000000" w:themeColor="text1"/>
          <w:sz w:val="24"/>
          <w:szCs w:val="24"/>
        </w:rPr>
        <w:t xml:space="preserve"> </w:t>
      </w:r>
      <w:hyperlink r:id="rId6">
        <w:r w:rsidRPr="4098F02C">
          <w:rPr>
            <w:rStyle w:val="Hyperlink"/>
            <w:rFonts w:ascii="Times New Roman" w:eastAsia="Times New Roman" w:hAnsi="Times New Roman" w:cs="Times New Roman"/>
            <w:sz w:val="24"/>
            <w:szCs w:val="24"/>
          </w:rPr>
          <w:t>3-13-1612</w:t>
        </w:r>
      </w:hyperlink>
      <w:r>
        <w:rPr>
          <w:rFonts w:ascii="Times New Roman" w:eastAsia="Times New Roman" w:hAnsi="Times New Roman" w:cs="Times New Roman"/>
          <w:color w:val="000000" w:themeColor="text1"/>
          <w:sz w:val="24"/>
          <w:szCs w:val="24"/>
        </w:rPr>
        <w:t xml:space="preserve"> </w:t>
      </w:r>
      <w:r w:rsidRPr="4098F02C">
        <w:rPr>
          <w:rFonts w:ascii="Times New Roman" w:eastAsia="Times New Roman" w:hAnsi="Times New Roman" w:cs="Times New Roman"/>
          <w:color w:val="000000" w:themeColor="text1"/>
          <w:sz w:val="24"/>
          <w:szCs w:val="24"/>
        </w:rPr>
        <w:t xml:space="preserve">ning 16.11.2017 otsus asjas nr </w:t>
      </w:r>
      <w:hyperlink r:id="rId7">
        <w:r w:rsidRPr="4098F02C">
          <w:rPr>
            <w:rStyle w:val="Hyperlink"/>
            <w:rFonts w:ascii="Times New Roman" w:eastAsia="Times New Roman" w:hAnsi="Times New Roman" w:cs="Times New Roman"/>
            <w:sz w:val="24"/>
            <w:szCs w:val="24"/>
          </w:rPr>
          <w:t>3-16-137</w:t>
        </w:r>
      </w:hyperlink>
      <w:r w:rsidRPr="4098F02C">
        <w:rPr>
          <w:rFonts w:ascii="Times New Roman" w:eastAsia="Times New Roman" w:hAnsi="Times New Roman" w:cs="Times New Roman"/>
          <w:color w:val="000000" w:themeColor="text1"/>
          <w:sz w:val="24"/>
          <w:szCs w:val="24"/>
        </w:rPr>
        <w:t xml:space="preserve">. </w:t>
      </w:r>
    </w:p>
    <w:p w14:paraId="073B0296" w14:textId="77777777" w:rsidR="00FD3C96" w:rsidRPr="00740081" w:rsidRDefault="00FD3C96" w:rsidP="00FD3C96">
      <w:pPr>
        <w:spacing w:after="0"/>
        <w:jc w:val="both"/>
        <w:rPr>
          <w:rFonts w:ascii="Times New Roman" w:eastAsia="Times New Roman" w:hAnsi="Times New Roman" w:cs="Times New Roman"/>
          <w:color w:val="000000" w:themeColor="text1"/>
          <w:sz w:val="24"/>
          <w:szCs w:val="24"/>
        </w:rPr>
      </w:pPr>
    </w:p>
    <w:p w14:paraId="7DDEDFCC" w14:textId="77777777" w:rsidR="00FD3C96" w:rsidRDefault="00FD3C96" w:rsidP="00FD3C96">
      <w:pPr>
        <w:spacing w:after="0"/>
        <w:jc w:val="both"/>
        <w:rPr>
          <w:rFonts w:ascii="Times New Roman" w:eastAsia="Times New Roman" w:hAnsi="Times New Roman" w:cs="Times New Roman"/>
          <w:color w:val="000000" w:themeColor="text1"/>
          <w:sz w:val="24"/>
          <w:szCs w:val="24"/>
        </w:rPr>
      </w:pPr>
      <w:r w:rsidRPr="00740081">
        <w:rPr>
          <w:rFonts w:ascii="Times New Roman" w:eastAsia="Times New Roman" w:hAnsi="Times New Roman" w:cs="Times New Roman"/>
          <w:color w:val="000000" w:themeColor="text1"/>
          <w:sz w:val="24"/>
          <w:szCs w:val="24"/>
        </w:rPr>
        <w:t xml:space="preserve">Riigikohtu tsiviilkolleegium asus 17.04.2024 asjas nr </w:t>
      </w:r>
      <w:hyperlink r:id="rId8" w:history="1">
        <w:r>
          <w:rPr>
            <w:rStyle w:val="Hyperlink"/>
            <w:rFonts w:ascii="Times New Roman" w:eastAsia="Times New Roman" w:hAnsi="Times New Roman" w:cs="Times New Roman"/>
            <w:sz w:val="24"/>
            <w:szCs w:val="24"/>
          </w:rPr>
          <w:t>2-17-124505</w:t>
        </w:r>
      </w:hyperlink>
      <w:r>
        <w:rPr>
          <w:rFonts w:ascii="Times New Roman" w:eastAsia="Times New Roman" w:hAnsi="Times New Roman" w:cs="Times New Roman"/>
          <w:color w:val="000000" w:themeColor="text1"/>
          <w:sz w:val="24"/>
          <w:szCs w:val="24"/>
        </w:rPr>
        <w:t xml:space="preserve"> </w:t>
      </w:r>
      <w:r w:rsidRPr="00740081">
        <w:rPr>
          <w:rFonts w:ascii="Times New Roman" w:eastAsia="Times New Roman" w:hAnsi="Times New Roman" w:cs="Times New Roman"/>
          <w:color w:val="000000" w:themeColor="text1"/>
          <w:sz w:val="24"/>
          <w:szCs w:val="24"/>
        </w:rPr>
        <w:t>seisukohale, et tsiviilkohtumenetluses peab menetluskuludena olema võimalik saada menetluskulude hüvitist ka advokaati õigusteenuse osutamisel aidanud juristi tehtud toimingute osas. Kohus selgitas, et</w:t>
      </w:r>
      <w:r>
        <w:rPr>
          <w:rFonts w:ascii="Times New Roman" w:eastAsia="Times New Roman" w:hAnsi="Times New Roman" w:cs="Times New Roman"/>
          <w:color w:val="000000" w:themeColor="text1"/>
          <w:sz w:val="24"/>
          <w:szCs w:val="24"/>
        </w:rPr>
        <w:t xml:space="preserve"> </w:t>
      </w:r>
      <w:r w:rsidRPr="00740081">
        <w:rPr>
          <w:rFonts w:ascii="Times New Roman" w:eastAsia="Times New Roman" w:hAnsi="Times New Roman" w:cs="Times New Roman"/>
          <w:color w:val="000000" w:themeColor="text1"/>
          <w:sz w:val="24"/>
          <w:szCs w:val="24"/>
        </w:rPr>
        <w:t xml:space="preserve">välistatud ei ole võimalus, et büroo madalama tunnihinnaga </w:t>
      </w:r>
      <w:bookmarkStart w:id="1" w:name="_Hlk166648987"/>
      <w:r w:rsidRPr="00740081">
        <w:rPr>
          <w:rFonts w:ascii="Times New Roman" w:eastAsia="Times New Roman" w:hAnsi="Times New Roman" w:cs="Times New Roman"/>
          <w:color w:val="000000" w:themeColor="text1"/>
          <w:sz w:val="24"/>
          <w:szCs w:val="24"/>
        </w:rPr>
        <w:t>töötaja toetab kõrgema tunnihinnaga töötajat abistavate või ettevalmistavate toimingute tegemisel. Selliste kulude hüvitamist nõudes tuleb menetlusosalisel esile tuua, miks oli mitme esindaja kasutamine vajalik, eelkõige kuidas mitme esindaja kasutamine aitas kaasa menetluskulude vähendamisele</w:t>
      </w:r>
      <w:bookmarkEnd w:id="1"/>
      <w:r w:rsidRPr="00740081">
        <w:rPr>
          <w:rFonts w:ascii="Times New Roman" w:eastAsia="Times New Roman" w:hAnsi="Times New Roman" w:cs="Times New Roman"/>
          <w:color w:val="000000" w:themeColor="text1"/>
          <w:sz w:val="24"/>
          <w:szCs w:val="24"/>
        </w:rPr>
        <w:t>.</w:t>
      </w:r>
    </w:p>
    <w:p w14:paraId="6A3C94DC" w14:textId="77777777" w:rsidR="00FD3C96" w:rsidRPr="00740081" w:rsidRDefault="00FD3C96" w:rsidP="00FD3C96">
      <w:pPr>
        <w:spacing w:after="0"/>
        <w:jc w:val="both"/>
        <w:rPr>
          <w:rFonts w:ascii="Times New Roman" w:eastAsia="Times New Roman" w:hAnsi="Times New Roman" w:cs="Times New Roman"/>
          <w:color w:val="000000" w:themeColor="text1"/>
          <w:sz w:val="24"/>
          <w:szCs w:val="24"/>
        </w:rPr>
      </w:pPr>
    </w:p>
    <w:p w14:paraId="3127B096" w14:textId="77777777" w:rsidR="00FD3C96" w:rsidRDefault="00FD3C96" w:rsidP="00FD3C96">
      <w:pPr>
        <w:spacing w:after="0"/>
        <w:jc w:val="both"/>
        <w:rPr>
          <w:rFonts w:ascii="Times New Roman" w:eastAsia="Times New Roman" w:hAnsi="Times New Roman" w:cs="Times New Roman"/>
          <w:color w:val="000000" w:themeColor="text1"/>
          <w:sz w:val="24"/>
          <w:szCs w:val="24"/>
        </w:rPr>
      </w:pPr>
      <w:r w:rsidRPr="00740081">
        <w:rPr>
          <w:rFonts w:ascii="Times New Roman" w:eastAsia="Times New Roman" w:hAnsi="Times New Roman" w:cs="Times New Roman"/>
          <w:color w:val="000000" w:themeColor="text1"/>
          <w:sz w:val="24"/>
          <w:szCs w:val="24"/>
        </w:rPr>
        <w:t xml:space="preserve">Riigikohtu kriminaalkolleegium on 10.11.2022 otsuses nr </w:t>
      </w:r>
      <w:hyperlink r:id="rId9" w:history="1">
        <w:r>
          <w:rPr>
            <w:rStyle w:val="Hyperlink"/>
            <w:rFonts w:ascii="Times New Roman" w:eastAsia="Times New Roman" w:hAnsi="Times New Roman" w:cs="Times New Roman"/>
            <w:sz w:val="24"/>
            <w:szCs w:val="24"/>
          </w:rPr>
          <w:t>1-21-2039</w:t>
        </w:r>
      </w:hyperlink>
      <w:r>
        <w:rPr>
          <w:rFonts w:ascii="Times New Roman" w:eastAsia="Times New Roman" w:hAnsi="Times New Roman" w:cs="Times New Roman"/>
          <w:color w:val="000000" w:themeColor="text1"/>
          <w:sz w:val="24"/>
          <w:szCs w:val="24"/>
        </w:rPr>
        <w:t xml:space="preserve"> </w:t>
      </w:r>
      <w:r w:rsidRPr="00740081">
        <w:rPr>
          <w:rFonts w:ascii="Times New Roman" w:eastAsia="Times New Roman" w:hAnsi="Times New Roman" w:cs="Times New Roman"/>
          <w:color w:val="000000" w:themeColor="text1"/>
          <w:sz w:val="24"/>
          <w:szCs w:val="24"/>
        </w:rPr>
        <w:t>pidanud põhjendatuks lisaks kohtumenetluses lepinguliste kaitsjatena osalenud vandeadvokaatide tehtud toimingutele menetluskuludena välja mõista mõistlikus ja põhjendatud ulatuses ka vandeadvokaate abistanud advokaadibüroo juristi kulu.</w:t>
      </w:r>
    </w:p>
    <w:p w14:paraId="5AAE3D36" w14:textId="77777777" w:rsidR="00FD3C96" w:rsidRPr="00740081" w:rsidRDefault="00FD3C96" w:rsidP="00FD3C96">
      <w:pPr>
        <w:spacing w:after="0"/>
        <w:jc w:val="both"/>
        <w:rPr>
          <w:rFonts w:ascii="Times New Roman" w:eastAsia="Times New Roman" w:hAnsi="Times New Roman" w:cs="Times New Roman"/>
          <w:color w:val="000000" w:themeColor="text1"/>
          <w:sz w:val="24"/>
          <w:szCs w:val="24"/>
        </w:rPr>
      </w:pPr>
    </w:p>
    <w:p w14:paraId="696F2ED6" w14:textId="77777777" w:rsidR="00FD3C96" w:rsidRDefault="00FD3C96" w:rsidP="00FD3C96">
      <w:pPr>
        <w:spacing w:after="0"/>
        <w:jc w:val="both"/>
        <w:rPr>
          <w:rFonts w:ascii="Times New Roman" w:eastAsia="Times New Roman" w:hAnsi="Times New Roman" w:cs="Times New Roman"/>
          <w:color w:val="000000" w:themeColor="text1"/>
          <w:sz w:val="24"/>
          <w:szCs w:val="24"/>
        </w:rPr>
      </w:pPr>
      <w:r w:rsidRPr="4098F02C">
        <w:rPr>
          <w:rFonts w:ascii="Times New Roman" w:eastAsia="Times New Roman" w:hAnsi="Times New Roman" w:cs="Times New Roman"/>
          <w:color w:val="000000" w:themeColor="text1"/>
          <w:sz w:val="24"/>
          <w:szCs w:val="24"/>
        </w:rPr>
        <w:t xml:space="preserve">Haldusasjades on Tallinna Ringkonnakohus juhindunud asjades nr </w:t>
      </w:r>
      <w:hyperlink r:id="rId10">
        <w:r w:rsidRPr="4098F02C">
          <w:rPr>
            <w:rStyle w:val="Hyperlink"/>
            <w:rFonts w:ascii="Times New Roman" w:eastAsia="Times New Roman" w:hAnsi="Times New Roman" w:cs="Times New Roman"/>
            <w:sz w:val="24"/>
            <w:szCs w:val="24"/>
          </w:rPr>
          <w:t>3-13-1612</w:t>
        </w:r>
      </w:hyperlink>
      <w:r w:rsidRPr="4098F02C">
        <w:rPr>
          <w:rFonts w:ascii="Times New Roman" w:eastAsia="Times New Roman" w:hAnsi="Times New Roman" w:cs="Times New Roman"/>
          <w:color w:val="000000" w:themeColor="text1"/>
          <w:sz w:val="24"/>
          <w:szCs w:val="24"/>
        </w:rPr>
        <w:t xml:space="preserve"> ja nr </w:t>
      </w:r>
      <w:hyperlink r:id="rId11">
        <w:r w:rsidRPr="4098F02C">
          <w:rPr>
            <w:rStyle w:val="Hyperlink"/>
            <w:rFonts w:ascii="Times New Roman" w:eastAsia="Times New Roman" w:hAnsi="Times New Roman" w:cs="Times New Roman"/>
            <w:sz w:val="24"/>
            <w:szCs w:val="24"/>
          </w:rPr>
          <w:t>3-16-137</w:t>
        </w:r>
      </w:hyperlink>
      <w:r w:rsidRPr="4098F02C">
        <w:rPr>
          <w:rFonts w:ascii="Times New Roman" w:eastAsia="Times New Roman" w:hAnsi="Times New Roman" w:cs="Times New Roman"/>
          <w:color w:val="000000" w:themeColor="text1"/>
          <w:sz w:val="24"/>
          <w:szCs w:val="24"/>
        </w:rPr>
        <w:t xml:space="preserve"> seisukohast, et lepingulisel esindajal ei ole keelatud kasutada õigusteenuse osutamisel sama advokaadibüroo juristide abi ning juristi toimingutega seotud kulutused on advokaadile omistatavad ja seega menetluskuludena hüvitatavad, kui kulutused on otseselt seotud esindaja poolt kohtule esitatud dokumentide ettevalmistamisega. Halduskohtumenetluses puudub nimetatud küsimuses kõrgeima kohtu lahend, kuid ringkonnakohtute praktika on järjepidev.</w:t>
      </w:r>
    </w:p>
    <w:p w14:paraId="6964A8FF" w14:textId="77777777" w:rsidR="00FD3C96" w:rsidRPr="00740081" w:rsidRDefault="00FD3C96" w:rsidP="00FD3C96">
      <w:pPr>
        <w:spacing w:after="0"/>
        <w:jc w:val="both"/>
        <w:rPr>
          <w:rFonts w:ascii="Times New Roman" w:eastAsia="Times New Roman" w:hAnsi="Times New Roman" w:cs="Times New Roman"/>
          <w:color w:val="000000" w:themeColor="text1"/>
          <w:sz w:val="24"/>
          <w:szCs w:val="24"/>
        </w:rPr>
      </w:pPr>
    </w:p>
    <w:p w14:paraId="55B435FF" w14:textId="77777777" w:rsidR="00FD3C96" w:rsidRDefault="00FD3C96" w:rsidP="00FD3C96">
      <w:pPr>
        <w:spacing w:after="0"/>
        <w:jc w:val="both"/>
        <w:rPr>
          <w:rFonts w:ascii="Times New Roman" w:eastAsia="Times New Roman" w:hAnsi="Times New Roman" w:cs="Times New Roman"/>
          <w:color w:val="000000" w:themeColor="text1"/>
          <w:sz w:val="24"/>
          <w:szCs w:val="24"/>
        </w:rPr>
      </w:pPr>
      <w:r w:rsidRPr="3074E668">
        <w:rPr>
          <w:rFonts w:ascii="Times New Roman" w:eastAsia="Times New Roman" w:hAnsi="Times New Roman" w:cs="Times New Roman"/>
          <w:color w:val="000000" w:themeColor="text1"/>
          <w:sz w:val="24"/>
          <w:szCs w:val="24"/>
        </w:rPr>
        <w:t xml:space="preserve">EMK peab kujunevat praktikat, millise kohaselt on lisaks lepingulise esindaja tehtud toimingutele õigusteenuse osutamisel menetluskuludena hüvitatavad ka advokaadibüroo juristi toimingud advokaadi õigusteenuse osutamise abistamisel, mõistlikuks. Selline lähenemine on kooskõlas praktilise olukorraga advokaadibüroodes, kuivõrd juristi töö eest vastutab lõppastmes tema oskusi ja abi kasutanud advokaat. Samas tuleb arvestada, et juristi kulude väljamõistmise küsimus on igal konkreetsel juhul asja lahendava kohtukoosseisu otsustada. </w:t>
      </w:r>
    </w:p>
    <w:p w14:paraId="7D885F09" w14:textId="77777777" w:rsidR="00FD3C96" w:rsidRPr="00740081" w:rsidRDefault="00FD3C96" w:rsidP="00FD3C96">
      <w:pPr>
        <w:spacing w:after="0"/>
        <w:jc w:val="both"/>
        <w:rPr>
          <w:rFonts w:ascii="Times New Roman" w:eastAsia="Times New Roman" w:hAnsi="Times New Roman" w:cs="Times New Roman"/>
          <w:color w:val="000000" w:themeColor="text1"/>
          <w:sz w:val="24"/>
          <w:szCs w:val="24"/>
        </w:rPr>
      </w:pPr>
    </w:p>
    <w:p w14:paraId="73B2CF95" w14:textId="77777777" w:rsidR="00FD3C96" w:rsidRDefault="00FD3C96" w:rsidP="00FD3C96">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Juhatus nõustub EMK eeltoodud seisukohtadega. Juhatus leiab, et advokaadibüroodel on põhjendatud järgida väljakujunenud kohtupraktikat juristi töö eest makstud tasu menetluskuludena </w:t>
      </w:r>
      <w:proofErr w:type="spellStart"/>
      <w:r>
        <w:rPr>
          <w:rFonts w:ascii="Times New Roman" w:eastAsia="Times New Roman" w:hAnsi="Times New Roman" w:cs="Times New Roman"/>
          <w:color w:val="000000" w:themeColor="text1"/>
          <w:sz w:val="24"/>
          <w:szCs w:val="24"/>
        </w:rPr>
        <w:t>hüvitatavuse</w:t>
      </w:r>
      <w:proofErr w:type="spellEnd"/>
      <w:r>
        <w:rPr>
          <w:rFonts w:ascii="Times New Roman" w:eastAsia="Times New Roman" w:hAnsi="Times New Roman" w:cs="Times New Roman"/>
          <w:color w:val="000000" w:themeColor="text1"/>
          <w:sz w:val="24"/>
          <w:szCs w:val="24"/>
        </w:rPr>
        <w:t xml:space="preserve"> osas. </w:t>
      </w:r>
    </w:p>
    <w:p w14:paraId="2DD275F3" w14:textId="77777777" w:rsidR="00FD3C96" w:rsidRDefault="00FD3C96" w:rsidP="00FD3C96">
      <w:pPr>
        <w:spacing w:after="0"/>
        <w:jc w:val="both"/>
        <w:rPr>
          <w:rFonts w:ascii="Times New Roman" w:eastAsia="Times New Roman" w:hAnsi="Times New Roman" w:cs="Times New Roman"/>
          <w:color w:val="000000" w:themeColor="text1"/>
          <w:sz w:val="24"/>
          <w:szCs w:val="24"/>
        </w:rPr>
      </w:pPr>
    </w:p>
    <w:p w14:paraId="7E03B7A0" w14:textId="77777777" w:rsidR="00FD3C96" w:rsidRPr="00137114" w:rsidRDefault="00FD3C96" w:rsidP="00FD3C96">
      <w:pPr>
        <w:spacing w:after="0"/>
        <w:jc w:val="both"/>
        <w:rPr>
          <w:rFonts w:ascii="Times New Roman" w:hAnsi="Times New Roman" w:cs="Times New Roman"/>
          <w:sz w:val="24"/>
          <w:szCs w:val="24"/>
        </w:rPr>
      </w:pPr>
      <w:r w:rsidRPr="00AD1908">
        <w:rPr>
          <w:rFonts w:ascii="Times New Roman" w:eastAsia="Times New Roman" w:hAnsi="Times New Roman" w:cs="Times New Roman"/>
          <w:color w:val="000000" w:themeColor="text1"/>
          <w:sz w:val="24"/>
          <w:szCs w:val="24"/>
        </w:rPr>
        <w:t>Lisaks juhib juhatus tähelepanu, et Riigikohtu tsiviilkolleegiumi 17.04.2024 lahend</w:t>
      </w:r>
      <w:r>
        <w:rPr>
          <w:rFonts w:ascii="Times New Roman" w:eastAsia="Times New Roman" w:hAnsi="Times New Roman" w:cs="Times New Roman"/>
          <w:color w:val="000000" w:themeColor="text1"/>
          <w:sz w:val="24"/>
          <w:szCs w:val="24"/>
        </w:rPr>
        <w:t>is</w:t>
      </w:r>
      <w:r w:rsidRPr="00AD1908">
        <w:rPr>
          <w:rFonts w:ascii="Times New Roman" w:eastAsia="Times New Roman" w:hAnsi="Times New Roman" w:cs="Times New Roman"/>
          <w:color w:val="000000" w:themeColor="text1"/>
          <w:sz w:val="24"/>
          <w:szCs w:val="24"/>
        </w:rPr>
        <w:t xml:space="preserve"> asjas nr </w:t>
      </w:r>
      <w:hyperlink r:id="rId12" w:history="1">
        <w:r w:rsidRPr="00AD1908">
          <w:rPr>
            <w:rStyle w:val="Hyperlink"/>
            <w:rFonts w:ascii="Times New Roman" w:eastAsia="Times New Roman" w:hAnsi="Times New Roman" w:cs="Times New Roman"/>
            <w:sz w:val="24"/>
            <w:szCs w:val="24"/>
          </w:rPr>
          <w:t>2-17-124505</w:t>
        </w:r>
      </w:hyperlink>
      <w:r w:rsidRPr="00AD1908">
        <w:rPr>
          <w:rFonts w:ascii="Times New Roman" w:eastAsia="Times New Roman" w:hAnsi="Times New Roman" w:cs="Times New Roman"/>
          <w:color w:val="000000" w:themeColor="text1"/>
          <w:sz w:val="24"/>
          <w:szCs w:val="24"/>
        </w:rPr>
        <w:t xml:space="preserve"> on kohus kinnitanud ka seisukohta, et lisaks advokaati töös abistanud juristi tööle </w:t>
      </w:r>
      <w:r w:rsidRPr="00AD1908">
        <w:rPr>
          <w:rFonts w:ascii="Times New Roman" w:hAnsi="Times New Roman" w:cs="Times New Roman"/>
          <w:sz w:val="24"/>
          <w:szCs w:val="24"/>
        </w:rPr>
        <w:t>on põhjendatud ja vajalikus ulatuses hüvitatavad ka selliste advokaatide töötunnid, kes ei olnud asjas esindajaks.</w:t>
      </w:r>
      <w:r>
        <w:rPr>
          <w:rFonts w:ascii="Times New Roman" w:hAnsi="Times New Roman" w:cs="Times New Roman"/>
          <w:sz w:val="24"/>
          <w:szCs w:val="24"/>
        </w:rPr>
        <w:t xml:space="preserve"> Mitme esindaja või juristi/esindajaks mitteoleva advokaadi töö osas tuleks menetluskulude nimekirjas ka põhjendada nende töö vajalikkust. </w:t>
      </w:r>
      <w:r w:rsidRPr="004216C6">
        <w:rPr>
          <w:rFonts w:ascii="Times New Roman" w:hAnsi="Times New Roman" w:cs="Times New Roman"/>
          <w:sz w:val="24"/>
          <w:szCs w:val="24"/>
        </w:rPr>
        <w:t xml:space="preserve">Juhatuse hinnangul ei ole põhjendatud vastaspoole menetluskulude nimekirjas sisalduvatele töötundidele vastu vaielda pelgalt põhjusel, et tööd tegi jurist või advokaat, kes ei olnud menetluses esindaja, vaid kulude </w:t>
      </w:r>
      <w:r w:rsidRPr="00137114">
        <w:rPr>
          <w:rFonts w:ascii="Times New Roman" w:hAnsi="Times New Roman" w:cs="Times New Roman"/>
          <w:sz w:val="24"/>
          <w:szCs w:val="24"/>
        </w:rPr>
        <w:t xml:space="preserve">vaidlustamisel tuleks keskenduda nende sisulisele põhjendatusele. </w:t>
      </w:r>
    </w:p>
    <w:p w14:paraId="6FA878D9" w14:textId="77777777" w:rsidR="00FD3C96" w:rsidRPr="00137114" w:rsidRDefault="00FD3C96" w:rsidP="00FD3C96">
      <w:pPr>
        <w:spacing w:after="0"/>
        <w:jc w:val="both"/>
        <w:rPr>
          <w:rFonts w:ascii="Times New Roman" w:hAnsi="Times New Roman" w:cs="Times New Roman"/>
          <w:sz w:val="24"/>
          <w:szCs w:val="24"/>
        </w:rPr>
      </w:pPr>
    </w:p>
    <w:p w14:paraId="2D310343" w14:textId="77777777" w:rsidR="00FD3C96" w:rsidRPr="00137114" w:rsidRDefault="00FD3C96" w:rsidP="00FD3C96">
      <w:pPr>
        <w:spacing w:after="0" w:line="240" w:lineRule="auto"/>
        <w:jc w:val="both"/>
        <w:rPr>
          <w:rFonts w:ascii="Times New Roman" w:hAnsi="Times New Roman" w:cs="Times New Roman"/>
          <w:b/>
          <w:bCs/>
          <w:sz w:val="24"/>
          <w:szCs w:val="24"/>
        </w:rPr>
      </w:pPr>
      <w:r w:rsidRPr="00137114">
        <w:rPr>
          <w:rFonts w:ascii="Times New Roman" w:hAnsi="Times New Roman" w:cs="Times New Roman"/>
          <w:b/>
          <w:bCs/>
          <w:sz w:val="24"/>
          <w:szCs w:val="24"/>
        </w:rPr>
        <w:t>Juhatus</w:t>
      </w:r>
    </w:p>
    <w:p w14:paraId="4C56E081" w14:textId="77777777" w:rsidR="00FD3C96" w:rsidRPr="00F07EB9" w:rsidRDefault="00FD3C96" w:rsidP="00FD3C96">
      <w:pPr>
        <w:spacing w:after="0" w:line="240" w:lineRule="auto"/>
        <w:jc w:val="both"/>
        <w:rPr>
          <w:rFonts w:ascii="Times New Roman" w:hAnsi="Times New Roman" w:cs="Times New Roman"/>
          <w:b/>
          <w:bCs/>
          <w:sz w:val="24"/>
          <w:szCs w:val="24"/>
        </w:rPr>
      </w:pPr>
    </w:p>
    <w:p w14:paraId="3BEF936C" w14:textId="77777777" w:rsidR="00FD3C96" w:rsidRPr="00F07EB9" w:rsidRDefault="00FD3C96" w:rsidP="00FD3C96">
      <w:pPr>
        <w:spacing w:after="0" w:line="240" w:lineRule="auto"/>
        <w:jc w:val="both"/>
        <w:rPr>
          <w:rFonts w:ascii="Times New Roman" w:hAnsi="Times New Roman" w:cs="Times New Roman"/>
          <w:b/>
          <w:bCs/>
          <w:sz w:val="24"/>
          <w:szCs w:val="24"/>
        </w:rPr>
      </w:pPr>
      <w:r w:rsidRPr="00F07EB9">
        <w:rPr>
          <w:rFonts w:ascii="Times New Roman" w:hAnsi="Times New Roman" w:cs="Times New Roman"/>
          <w:b/>
          <w:bCs/>
          <w:sz w:val="24"/>
          <w:szCs w:val="24"/>
        </w:rPr>
        <w:t>O T S U S T A S</w:t>
      </w:r>
    </w:p>
    <w:p w14:paraId="70F778EA" w14:textId="77777777" w:rsidR="00FD3C96" w:rsidRPr="00F07EB9" w:rsidRDefault="00FD3C96" w:rsidP="00FD3C96">
      <w:pPr>
        <w:spacing w:after="0" w:line="240" w:lineRule="auto"/>
        <w:jc w:val="both"/>
        <w:rPr>
          <w:rFonts w:ascii="Times New Roman" w:hAnsi="Times New Roman" w:cs="Times New Roman"/>
          <w:sz w:val="24"/>
          <w:szCs w:val="24"/>
        </w:rPr>
      </w:pPr>
    </w:p>
    <w:p w14:paraId="60E68B50" w14:textId="77777777" w:rsidR="00FD3C96" w:rsidRDefault="00FD3C96" w:rsidP="00FD3C96">
      <w:pPr>
        <w:spacing w:after="0"/>
        <w:jc w:val="both"/>
        <w:rPr>
          <w:rFonts w:ascii="Times New Roman" w:eastAsia="Times New Roman" w:hAnsi="Times New Roman" w:cs="Times New Roman"/>
          <w:b/>
          <w:color w:val="000000" w:themeColor="text1"/>
          <w:sz w:val="24"/>
          <w:szCs w:val="24"/>
        </w:rPr>
      </w:pPr>
      <w:r w:rsidRPr="00740081">
        <w:rPr>
          <w:rFonts w:ascii="Times New Roman" w:eastAsia="Times New Roman" w:hAnsi="Times New Roman" w:cs="Times New Roman"/>
          <w:b/>
          <w:bCs/>
          <w:color w:val="000000" w:themeColor="text1"/>
          <w:sz w:val="24"/>
          <w:szCs w:val="24"/>
        </w:rPr>
        <w:t>Edastada eetika- ja metoodikakomisjoni seisukohad (protokolli lisa</w:t>
      </w:r>
      <w:r>
        <w:rPr>
          <w:rFonts w:ascii="Times New Roman" w:eastAsia="Times New Roman" w:hAnsi="Times New Roman" w:cs="Times New Roman"/>
          <w:b/>
          <w:bCs/>
          <w:color w:val="000000" w:themeColor="text1"/>
          <w:sz w:val="24"/>
          <w:szCs w:val="24"/>
        </w:rPr>
        <w:t xml:space="preserve"> 2</w:t>
      </w:r>
      <w:r w:rsidRPr="00740081">
        <w:rPr>
          <w:rFonts w:ascii="Times New Roman" w:eastAsia="Times New Roman" w:hAnsi="Times New Roman" w:cs="Times New Roman"/>
          <w:b/>
          <w:bCs/>
          <w:color w:val="000000" w:themeColor="text1"/>
          <w:sz w:val="24"/>
          <w:szCs w:val="24"/>
        </w:rPr>
        <w:t>) liikmetele teadmiseks ja järgmiseks.</w:t>
      </w:r>
    </w:p>
    <w:p w14:paraId="077B61E5" w14:textId="77777777" w:rsidR="00FD3C96" w:rsidRDefault="00FD3C96" w:rsidP="00FD3C96">
      <w:pPr>
        <w:spacing w:after="0"/>
        <w:jc w:val="both"/>
        <w:rPr>
          <w:rFonts w:ascii="Times New Roman" w:eastAsia="Times New Roman" w:hAnsi="Times New Roman" w:cs="Times New Roman"/>
          <w:b/>
          <w:bCs/>
          <w:color w:val="000000" w:themeColor="text1"/>
          <w:sz w:val="24"/>
          <w:szCs w:val="24"/>
        </w:rPr>
      </w:pPr>
    </w:p>
    <w:p w14:paraId="23673BE6" w14:textId="77777777" w:rsidR="00FD3C96" w:rsidRDefault="00FD3C96" w:rsidP="00FD3C96">
      <w:pPr>
        <w:spacing w:after="0"/>
        <w:jc w:val="both"/>
        <w:rPr>
          <w:rFonts w:ascii="Times New Roman" w:eastAsia="Times New Roman" w:hAnsi="Times New Roman" w:cs="Times New Roman"/>
          <w:b/>
          <w:bCs/>
          <w:color w:val="000000" w:themeColor="text1"/>
          <w:sz w:val="24"/>
          <w:szCs w:val="24"/>
        </w:rPr>
      </w:pPr>
    </w:p>
    <w:p w14:paraId="38340750" w14:textId="77777777" w:rsidR="00FD3C96" w:rsidRDefault="00FD3C96"/>
    <w:sectPr w:rsidR="00FD3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96"/>
    <w:rsid w:val="000A2542"/>
    <w:rsid w:val="003D41EB"/>
    <w:rsid w:val="00B63717"/>
    <w:rsid w:val="00C423DF"/>
    <w:rsid w:val="00D40B90"/>
    <w:rsid w:val="00DF50AB"/>
    <w:rsid w:val="00EC4D06"/>
    <w:rsid w:val="00FD3C96"/>
    <w:rsid w:val="00FF67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8052"/>
  <w15:chartTrackingRefBased/>
  <w15:docId w15:val="{3F55E42C-C05B-4614-A667-2865CBD2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96"/>
    <w:rPr>
      <w:kern w:val="0"/>
      <w14:ligatures w14:val="none"/>
    </w:rPr>
  </w:style>
  <w:style w:type="paragraph" w:styleId="Heading1">
    <w:name w:val="heading 1"/>
    <w:basedOn w:val="Normal"/>
    <w:next w:val="Normal"/>
    <w:link w:val="Heading1Char"/>
    <w:uiPriority w:val="9"/>
    <w:qFormat/>
    <w:rsid w:val="00FD3C9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D3C9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3C9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3C9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D3C9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D3C9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D3C9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D3C9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D3C9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3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96"/>
    <w:rPr>
      <w:rFonts w:eastAsiaTheme="majorEastAsia" w:cstheme="majorBidi"/>
      <w:color w:val="272727" w:themeColor="text1" w:themeTint="D8"/>
    </w:rPr>
  </w:style>
  <w:style w:type="paragraph" w:styleId="Title">
    <w:name w:val="Title"/>
    <w:basedOn w:val="Normal"/>
    <w:next w:val="Normal"/>
    <w:link w:val="TitleChar"/>
    <w:uiPriority w:val="10"/>
    <w:qFormat/>
    <w:rsid w:val="00FD3C9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3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9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3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9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D3C96"/>
    <w:rPr>
      <w:i/>
      <w:iCs/>
      <w:color w:val="404040" w:themeColor="text1" w:themeTint="BF"/>
    </w:rPr>
  </w:style>
  <w:style w:type="paragraph" w:styleId="ListParagraph">
    <w:name w:val="List Paragraph"/>
    <w:basedOn w:val="Normal"/>
    <w:link w:val="ListParagraphChar"/>
    <w:uiPriority w:val="34"/>
    <w:qFormat/>
    <w:rsid w:val="00FD3C96"/>
    <w:pPr>
      <w:ind w:left="720"/>
      <w:contextualSpacing/>
    </w:pPr>
    <w:rPr>
      <w:kern w:val="2"/>
      <w14:ligatures w14:val="standardContextual"/>
    </w:rPr>
  </w:style>
  <w:style w:type="character" w:styleId="IntenseEmphasis">
    <w:name w:val="Intense Emphasis"/>
    <w:basedOn w:val="DefaultParagraphFont"/>
    <w:uiPriority w:val="21"/>
    <w:qFormat/>
    <w:rsid w:val="00FD3C96"/>
    <w:rPr>
      <w:i/>
      <w:iCs/>
      <w:color w:val="0F4761" w:themeColor="accent1" w:themeShade="BF"/>
    </w:rPr>
  </w:style>
  <w:style w:type="paragraph" w:styleId="IntenseQuote">
    <w:name w:val="Intense Quote"/>
    <w:basedOn w:val="Normal"/>
    <w:next w:val="Normal"/>
    <w:link w:val="IntenseQuoteChar"/>
    <w:uiPriority w:val="30"/>
    <w:qFormat/>
    <w:rsid w:val="00FD3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D3C96"/>
    <w:rPr>
      <w:i/>
      <w:iCs/>
      <w:color w:val="0F4761" w:themeColor="accent1" w:themeShade="BF"/>
    </w:rPr>
  </w:style>
  <w:style w:type="character" w:styleId="IntenseReference">
    <w:name w:val="Intense Reference"/>
    <w:basedOn w:val="DefaultParagraphFont"/>
    <w:uiPriority w:val="32"/>
    <w:qFormat/>
    <w:rsid w:val="00FD3C96"/>
    <w:rPr>
      <w:b/>
      <w:bCs/>
      <w:smallCaps/>
      <w:color w:val="0F4761" w:themeColor="accent1" w:themeShade="BF"/>
      <w:spacing w:val="5"/>
    </w:rPr>
  </w:style>
  <w:style w:type="character" w:styleId="Hyperlink">
    <w:name w:val="Hyperlink"/>
    <w:basedOn w:val="DefaultParagraphFont"/>
    <w:uiPriority w:val="99"/>
    <w:unhideWhenUsed/>
    <w:rsid w:val="00FD3C96"/>
    <w:rPr>
      <w:color w:val="467886" w:themeColor="hyperlink"/>
      <w:u w:val="single"/>
    </w:rPr>
  </w:style>
  <w:style w:type="character" w:customStyle="1" w:styleId="ListParagraphChar">
    <w:name w:val="List Paragraph Char"/>
    <w:link w:val="ListParagraph"/>
    <w:uiPriority w:val="34"/>
    <w:locked/>
    <w:rsid w:val="00FD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kohtulahendid/detailid.html?id=36762983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iigiteataja.ee/kohtulahendid/detailid.html?id=217699319" TargetMode="External"/><Relationship Id="rId12" Type="http://schemas.openxmlformats.org/officeDocument/2006/relationships/hyperlink" Target="https://www.riigiteataja.ee/kohtulahendid/detailid.html?id=3676298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kohtulahendid/detailid.html?id=155661156" TargetMode="External"/><Relationship Id="rId11" Type="http://schemas.openxmlformats.org/officeDocument/2006/relationships/hyperlink" Target="https://www.riigiteataja.ee/kohtulahendid/detailid.html?id=217699319" TargetMode="External"/><Relationship Id="rId5" Type="http://schemas.openxmlformats.org/officeDocument/2006/relationships/hyperlink" Target="https://www.riigiteataja.ee/kohtulahendid/detailid.html?id=325850568" TargetMode="External"/><Relationship Id="rId10" Type="http://schemas.openxmlformats.org/officeDocument/2006/relationships/hyperlink" Target="https://www.riigiteataja.ee/kohtulahendid/detailid.html?id=155661156" TargetMode="External"/><Relationship Id="rId4" Type="http://schemas.openxmlformats.org/officeDocument/2006/relationships/hyperlink" Target="https://www.riigiteataja.ee/kohtulahendid/detailid.html?id=367629838" TargetMode="External"/><Relationship Id="rId9" Type="http://schemas.openxmlformats.org/officeDocument/2006/relationships/hyperlink" Target="https://www.riigiteataja.ee/kohtulahendid/detailid.html?id=3258505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9631</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Aavekukk-Tamm</dc:creator>
  <cp:keywords/>
  <dc:description/>
  <cp:lastModifiedBy>Merit Aavekukk-Tamm</cp:lastModifiedBy>
  <cp:revision>1</cp:revision>
  <dcterms:created xsi:type="dcterms:W3CDTF">2024-12-20T08:59:00Z</dcterms:created>
  <dcterms:modified xsi:type="dcterms:W3CDTF">2024-12-20T09:00:00Z</dcterms:modified>
</cp:coreProperties>
</file>