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208B9" w14:textId="77777777" w:rsidR="008F7E15" w:rsidRPr="00745764" w:rsidRDefault="008F7E15" w:rsidP="008F7E15">
      <w:pPr>
        <w:spacing w:after="0" w:line="240" w:lineRule="auto"/>
        <w:jc w:val="both"/>
        <w:textAlignment w:val="baseline"/>
        <w:rPr>
          <w:rFonts w:eastAsia="Times New Roman" w:cs="Times New Roman"/>
        </w:rPr>
      </w:pPr>
      <w:r w:rsidRPr="560A84CC">
        <w:rPr>
          <w:rFonts w:eastAsia="Times New Roman" w:cs="Times New Roman"/>
        </w:rPr>
        <w:t>EESTI ADVOKATUURI JUHATUS</w:t>
      </w:r>
    </w:p>
    <w:p w14:paraId="1A355DFA" w14:textId="77777777" w:rsidR="008F7E15" w:rsidRPr="00745764" w:rsidRDefault="008F7E15" w:rsidP="008F7E15">
      <w:pPr>
        <w:spacing w:after="0" w:line="240" w:lineRule="auto"/>
        <w:jc w:val="both"/>
        <w:textAlignment w:val="baseline"/>
        <w:rPr>
          <w:rFonts w:eastAsia="Times New Roman" w:cs="Times New Roman"/>
          <w:szCs w:val="24"/>
        </w:rPr>
      </w:pPr>
      <w:r w:rsidRPr="00745764">
        <w:rPr>
          <w:rFonts w:eastAsia="Times New Roman" w:cs="Times New Roman"/>
          <w:szCs w:val="24"/>
        </w:rPr>
        <w:t>ISTUNGI PROTOKOLL </w:t>
      </w:r>
    </w:p>
    <w:p w14:paraId="0C62FF37" w14:textId="77777777" w:rsidR="008F7E15" w:rsidRPr="00745764" w:rsidRDefault="008F7E15" w:rsidP="008F7E15">
      <w:pPr>
        <w:spacing w:after="0" w:line="240" w:lineRule="auto"/>
        <w:jc w:val="both"/>
        <w:rPr>
          <w:rFonts w:eastAsia="Times New Roman" w:cs="Times New Roman"/>
          <w:szCs w:val="24"/>
        </w:rPr>
      </w:pPr>
    </w:p>
    <w:p w14:paraId="4CE587B8" w14:textId="77777777" w:rsidR="008F7E15" w:rsidRDefault="008F7E15" w:rsidP="008F7E15">
      <w:pPr>
        <w:spacing w:after="0" w:line="240" w:lineRule="auto"/>
        <w:jc w:val="both"/>
        <w:textAlignment w:val="baseline"/>
        <w:rPr>
          <w:rFonts w:eastAsia="Times New Roman" w:cs="Times New Roman"/>
          <w:szCs w:val="24"/>
        </w:rPr>
      </w:pPr>
      <w:r w:rsidRPr="313C7A79">
        <w:rPr>
          <w:rFonts w:eastAsia="Times New Roman" w:cs="Times New Roman"/>
          <w:szCs w:val="24"/>
        </w:rPr>
        <w:t>9. jaanuar 2024. a nr 1</w:t>
      </w:r>
    </w:p>
    <w:p w14:paraId="444B4F70" w14:textId="77777777" w:rsidR="00DF50AB" w:rsidRDefault="00DF50AB" w:rsidP="008F7E15">
      <w:pPr>
        <w:spacing w:after="0" w:line="240" w:lineRule="auto"/>
        <w:jc w:val="both"/>
      </w:pPr>
    </w:p>
    <w:p w14:paraId="31F7F171" w14:textId="77777777" w:rsidR="008F7E15" w:rsidRPr="008F7E15" w:rsidRDefault="008F7E15" w:rsidP="008F7E15">
      <w:pPr>
        <w:spacing w:after="0" w:line="240" w:lineRule="auto"/>
        <w:jc w:val="both"/>
      </w:pPr>
    </w:p>
    <w:p w14:paraId="77416965" w14:textId="77B0BAB0" w:rsidR="008F7E15" w:rsidRDefault="008F7E15" w:rsidP="008F7E15">
      <w:pPr>
        <w:spacing w:after="0" w:line="240" w:lineRule="auto"/>
        <w:jc w:val="both"/>
        <w:rPr>
          <w:b/>
        </w:rPr>
      </w:pPr>
      <w:bookmarkStart w:id="0" w:name="_Toc155798613"/>
      <w:r w:rsidRPr="008F7E15">
        <w:rPr>
          <w:b/>
        </w:rPr>
        <w:t>4.1 Pöördumine RÕA menetlejate poole seoses käibemaksumäära tõusuga</w:t>
      </w:r>
      <w:bookmarkEnd w:id="0"/>
    </w:p>
    <w:p w14:paraId="567D3042" w14:textId="77777777" w:rsidR="0033385F" w:rsidRPr="008F7E15" w:rsidRDefault="0033385F" w:rsidP="008F7E15">
      <w:pPr>
        <w:spacing w:after="0" w:line="240" w:lineRule="auto"/>
        <w:jc w:val="both"/>
        <w:rPr>
          <w:b/>
        </w:rPr>
      </w:pPr>
    </w:p>
    <w:p w14:paraId="237542F3" w14:textId="77777777" w:rsidR="008F7E15" w:rsidRDefault="008F7E15" w:rsidP="008F7E15">
      <w:pPr>
        <w:spacing w:after="0" w:line="240" w:lineRule="auto"/>
        <w:jc w:val="both"/>
      </w:pPr>
      <w:r w:rsidRPr="008F7E15">
        <w:t xml:space="preserve">Seoses sellega, et alates 01.01.2024 on käibemaksumäär 22%, tekkis advokatuuril mure riigi õigusabi (edaspidi RÕA) osutavate advokaatide tasudele ja kuludele lisanduva käibemaksu väljamõistmisega olukorras, kus advokaat on tasutaotluse esitanud 2023. aastal koos 20%-se käibemaksu hüvitamise taotlusega, kuid menetleja lahendab tasutaotluse ja teeb tasu suurust kindlaksmäärava määruse 2024. aastal. </w:t>
      </w:r>
    </w:p>
    <w:p w14:paraId="0D9C6550" w14:textId="77777777" w:rsidR="008F7E15" w:rsidRPr="008F7E15" w:rsidRDefault="008F7E15" w:rsidP="008F7E15">
      <w:pPr>
        <w:spacing w:after="0" w:line="240" w:lineRule="auto"/>
        <w:jc w:val="both"/>
      </w:pPr>
    </w:p>
    <w:p w14:paraId="71B4A3C2" w14:textId="77777777" w:rsidR="008F7E15" w:rsidRDefault="008F7E15" w:rsidP="008F7E15">
      <w:pPr>
        <w:spacing w:after="0" w:line="240" w:lineRule="auto"/>
        <w:jc w:val="both"/>
      </w:pPr>
      <w:r w:rsidRPr="008F7E15">
        <w:t xml:space="preserve">Advokatuur on seisukohal, et RÕA osutamisega seotud käibe tekkimise ajaks tuleb pidada tasu ja kulude suurust kindlaks määrava määruse tegemise aega ehk hetke, millal on selge, kui suur on advokaadibüroole õigusabi osutamisega seoses tekkinud käive. Sellist lähenemist toetavad ka Maksu- ja Tolliameti käibemaksuspetsialistid, kellega advokatuur oma seisukoha kooskõlastas. Teistsugune lähenemine (nt, et käibe tekkimise ajaks tuleks lugeda RÕA toimingu tegemise aeg) ei ole RÕA eripära arvestades õige, sest tooks advokaatidele kaasa vajaduse pidevalt teha käibedeklaratsioonide parandusi ja kanda sellega seotud kulusid (sh käibemaksu hilinenult deklareerimisega seotud intressikulusid). </w:t>
      </w:r>
    </w:p>
    <w:p w14:paraId="21E5B6A8" w14:textId="77777777" w:rsidR="008F7E15" w:rsidRPr="008F7E15" w:rsidRDefault="008F7E15" w:rsidP="008F7E15">
      <w:pPr>
        <w:spacing w:after="0" w:line="240" w:lineRule="auto"/>
        <w:jc w:val="both"/>
      </w:pPr>
    </w:p>
    <w:p w14:paraId="77F5ED93" w14:textId="77777777" w:rsidR="008F7E15" w:rsidRDefault="008F7E15" w:rsidP="008F7E15">
      <w:pPr>
        <w:spacing w:after="0" w:line="240" w:lineRule="auto"/>
        <w:jc w:val="both"/>
      </w:pPr>
      <w:r w:rsidRPr="008F7E15">
        <w:t xml:space="preserve">Sellest tulenevalt edastas advokatuur 22.12.2023 RÕA tasutaotlusi lahendavatele menetlejatele pöördumise, milles palus mõista advokaatidele RÕA tasud ja kulud välja tasu kindlaks määrava määruse tegemise ajal kehtiva käibemaksu määraga, sõltumata sellest, milline on advokaadi poolt tasutaotlusesse märgitud käibemaksu suurus. </w:t>
      </w:r>
    </w:p>
    <w:p w14:paraId="17945F1D" w14:textId="77777777" w:rsidR="008F7E15" w:rsidRPr="008F7E15" w:rsidRDefault="008F7E15" w:rsidP="008F7E15">
      <w:pPr>
        <w:spacing w:after="0" w:line="240" w:lineRule="auto"/>
        <w:jc w:val="both"/>
      </w:pPr>
    </w:p>
    <w:p w14:paraId="379AF95E" w14:textId="51F6E840" w:rsidR="008F7E15" w:rsidRDefault="008F7E15" w:rsidP="008F7E15">
      <w:pPr>
        <w:spacing w:after="0" w:line="240" w:lineRule="auto"/>
        <w:jc w:val="both"/>
      </w:pPr>
      <w:r w:rsidRPr="008F7E15">
        <w:t>Advokatuur põhjendas oma seisukohti mh alljärgnevaga:</w:t>
      </w:r>
    </w:p>
    <w:p w14:paraId="69D5B329" w14:textId="77777777" w:rsidR="008F7E15" w:rsidRPr="008F7E15" w:rsidRDefault="008F7E15" w:rsidP="008F7E15">
      <w:pPr>
        <w:spacing w:after="0" w:line="240" w:lineRule="auto"/>
        <w:jc w:val="both"/>
      </w:pPr>
    </w:p>
    <w:p w14:paraId="4F5D4CDC" w14:textId="77777777" w:rsidR="008F7E15" w:rsidRPr="008F7E15" w:rsidRDefault="008F7E15" w:rsidP="008F7E15">
      <w:pPr>
        <w:numPr>
          <w:ilvl w:val="0"/>
          <w:numId w:val="1"/>
        </w:numPr>
        <w:spacing w:after="0" w:line="240" w:lineRule="auto"/>
        <w:jc w:val="both"/>
      </w:pPr>
      <w:r w:rsidRPr="008F7E15">
        <w:t xml:space="preserve">Justiitsministri 26.07.2016 määruse nr 16 „Advokaadile riigi õigusabi tasu maksmise ja kulude hüvitamise kord“ (edaspidi viidatud kui „kord“) § 21 kohaselt peab advokaat RÕA tasu suuruse ja kulude hüvitamise ulatuse kindlaksmääramiseks esitama taotluse riigi õigusabi infosüsteemis (edaspidi RIS). On oluline tähele panna, et </w:t>
      </w:r>
      <w:r w:rsidRPr="008F7E15">
        <w:rPr>
          <w:u w:val="single"/>
        </w:rPr>
        <w:t>advokaadid ei saa süsteemis käibemaksu osa ise muuta</w:t>
      </w:r>
      <w:r w:rsidRPr="008F7E15">
        <w:t>,</w:t>
      </w:r>
      <w:r w:rsidRPr="008F7E15">
        <w:rPr>
          <w:u w:val="single"/>
        </w:rPr>
        <w:t xml:space="preserve"> vaid selle osa lisab hetkel olemasolev süsteem tasutaotlusesse automaatselt</w:t>
      </w:r>
      <w:r w:rsidRPr="008F7E15">
        <w:t xml:space="preserve">, arvestades hetkel kehtivat käibemaksumäära. Sealhulgas ei ole võimalik tasutaotlusesse märkida ka taotlust, et menetleja rakendaks tasutaotluse lahendamise ajal kehtivat maksumäära. </w:t>
      </w:r>
    </w:p>
    <w:p w14:paraId="495A793A" w14:textId="77777777" w:rsidR="008F7E15" w:rsidRPr="008F7E15" w:rsidRDefault="008F7E15" w:rsidP="008F7E15">
      <w:pPr>
        <w:numPr>
          <w:ilvl w:val="0"/>
          <w:numId w:val="1"/>
        </w:numPr>
        <w:spacing w:after="0" w:line="240" w:lineRule="auto"/>
        <w:jc w:val="both"/>
      </w:pPr>
      <w:r w:rsidRPr="008F7E15">
        <w:t xml:space="preserve">RÕS § 22 lg 7 kohasel määratakse menetleja poolt RÕA tasu suurus ja kulude hüvitamise ulatus kindlaks advokaadi taotluse alusel kolme kuu jooksul arvates taotluse kättesaamisest. See tähendab, et tasutaotlused, mis on esitatud 2023. aasta oktoobris, novembris ja detsembris, võivad potentsiaalselt kuuluda lahendamisele alles 2024. aastal. Sama §-i lg 3 kohaselt on advokaadil õigus esitada tasutaotlus kolme kuu jooksul pärast RÕA toimingu tegemist, kuid hiljemalt vastava menetluse lõpus. Viimane on oluline tähele panna, sest </w:t>
      </w:r>
      <w:r w:rsidRPr="008F7E15">
        <w:rPr>
          <w:u w:val="single"/>
        </w:rPr>
        <w:t>toimingu tegemise ja osutatud õigusabi eest väljamõistetava tasu suuruse kindlaksmääramise vahele võib seega seadusest tulenevatel alustel jääda 6 kuud</w:t>
      </w:r>
      <w:r w:rsidRPr="008F7E15">
        <w:t xml:space="preserve">. Ehk tegelik käibe suurus võib selguda alles 6 kuud pärast RÕA toimingu tegemist, kuna menetleja pädevuses on otsustada, millises osas õigusabikulu põhjendatud on (sh vajadusel rahuldada tasutaotlus üksnes osaliselt). </w:t>
      </w:r>
    </w:p>
    <w:p w14:paraId="2EE96FBA" w14:textId="77777777" w:rsidR="008F7E15" w:rsidRPr="008F7E15" w:rsidRDefault="008F7E15" w:rsidP="008F7E15">
      <w:pPr>
        <w:numPr>
          <w:ilvl w:val="0"/>
          <w:numId w:val="1"/>
        </w:numPr>
        <w:spacing w:after="0" w:line="240" w:lineRule="auto"/>
        <w:jc w:val="both"/>
      </w:pPr>
      <w:r w:rsidRPr="008F7E15">
        <w:lastRenderedPageBreak/>
        <w:t xml:space="preserve">Korra § 4 alusel maksab advokatuur RÕA tasu ja kulud välja advokaadibüroo esitatud arve ja RÕA osutanud advokaadi poolt RIS-s koostatud tasuarvestuslehe alusel. See tähendab, et </w:t>
      </w:r>
      <w:r w:rsidRPr="008F7E15">
        <w:rPr>
          <w:u w:val="single"/>
        </w:rPr>
        <w:t>advokaadibüroo saab tasu kohta arve koostada ja esitada alles pärast tasumääruse saamist</w:t>
      </w:r>
      <w:r w:rsidRPr="008F7E15">
        <w:t xml:space="preserve">. </w:t>
      </w:r>
    </w:p>
    <w:p w14:paraId="7F06A76E" w14:textId="10D8E1EE" w:rsidR="008F7E15" w:rsidRDefault="008F7E15" w:rsidP="008F7E15">
      <w:pPr>
        <w:numPr>
          <w:ilvl w:val="0"/>
          <w:numId w:val="1"/>
        </w:numPr>
        <w:spacing w:after="0" w:line="240" w:lineRule="auto"/>
        <w:jc w:val="both"/>
      </w:pPr>
      <w:r w:rsidRPr="008F7E15">
        <w:t xml:space="preserve">Advokaadibürood ei saa 2024. aastal deklareerida käivet 20%-se maksumääraga. See tähendab, et advokaadibüroo saab alates 01.01.2024 tehtud tasumääruse alusel esitada advokatuurile arve 2024. aastal, mistõttu tuleb arvel kajastatud käibelt tasuda käibemaks 22%-se maksumääraga. </w:t>
      </w:r>
      <w:r w:rsidRPr="008F7E15">
        <w:rPr>
          <w:u w:val="single"/>
        </w:rPr>
        <w:t>Advokatuuril puudub õiguslik alus maksta advokaadibüroole välja tasu suuremas ulatuses kui see on fikseeritud menetleja poolt tehtud tasumääruses</w:t>
      </w:r>
      <w:r w:rsidRPr="008F7E15">
        <w:t xml:space="preserve">. Seega olukorras, kus tasumääruse kohaselt on advokaadile välja mõistetud tasu koos 20%-se käibemaksuga, peaks advokaadibüroo käibemaksu vahe kinni maksma advokaadibüroo vahenditest. Selline lahendus ei ole kooskõlas RÕS mõttega ning arvestades RÕA madalaid tasusid, oleks see RÕA osutavate advokaadibüroode suhtes äärmiselt ebaõiglane. </w:t>
      </w:r>
    </w:p>
    <w:p w14:paraId="3115080B" w14:textId="77777777" w:rsidR="008F7E15" w:rsidRPr="008F7E15" w:rsidRDefault="008F7E15" w:rsidP="008F7E15">
      <w:pPr>
        <w:spacing w:after="0" w:line="240" w:lineRule="auto"/>
        <w:ind w:left="720"/>
        <w:jc w:val="both"/>
      </w:pPr>
    </w:p>
    <w:p w14:paraId="1156C338" w14:textId="6B6025E0" w:rsidR="008F7E15" w:rsidRDefault="008F7E15" w:rsidP="008F7E15">
      <w:pPr>
        <w:spacing w:after="0" w:line="240" w:lineRule="auto"/>
        <w:jc w:val="both"/>
      </w:pPr>
      <w:r w:rsidRPr="008F7E15">
        <w:t xml:space="preserve">Advokatuuri esindajad arutasid probleemi nii Maksu- ja Tolliameti käibemaksuspetsialistidega kui ka Justiitsministeeriumi RÕA osutamist koordineerivate ametnikega. Selle tulemusel on jõuti arusaamale, et ainsaks mõistlikuks lahenduseks on, et menetlejad arvestavad tasutaotluste lahendamise hetkel kehtiva käibemaksumääraga, sõltumata sellest, et advokaadi poolt 2023. aastal esitatud tasutaotlus sisaldab mh taotlust hüvitada käbemaks 20%-se maksumääraga. </w:t>
      </w:r>
    </w:p>
    <w:p w14:paraId="1CB9854F" w14:textId="77777777" w:rsidR="008F7E15" w:rsidRPr="008F7E15" w:rsidRDefault="008F7E15" w:rsidP="008F7E15">
      <w:pPr>
        <w:spacing w:after="0" w:line="240" w:lineRule="auto"/>
        <w:jc w:val="both"/>
      </w:pPr>
    </w:p>
    <w:p w14:paraId="488C07EC" w14:textId="77777777" w:rsidR="008F7E15" w:rsidRDefault="008F7E15" w:rsidP="008F7E15">
      <w:pPr>
        <w:spacing w:after="0" w:line="240" w:lineRule="auto"/>
        <w:jc w:val="both"/>
      </w:pPr>
      <w:r w:rsidRPr="008F7E15">
        <w:t xml:space="preserve">Seisuga 09.01.2024 on teada, et suurem osa menetlejad on advokatuuri ettepaneku vastu võtnud ning 2024. aastal tehtud tasumäärustes mõistnud tasu välja kehtiva 22%-se käibemaksu määraga. Samuti on tänaseks koostöös Justiitsministeeriumi ning Registrite ja Infosüsteemide Keskusega tehtud menetluskeskkondades andmeparandused tagamaks tasutaotlustes ja tasumäärustes oleva käibemaksumäära vastavus. Juhul kui liikmetele ilmnevad tehnilised või sisulised probleemid tasude taotlemisel või tasuarvestuslehtede koostamisel ja esitamisel, võib abi saamiseks pöörduda advokatuuri kantselei töötajate poole. </w:t>
      </w:r>
    </w:p>
    <w:p w14:paraId="43F6FBAF" w14:textId="77777777" w:rsidR="008F7E15" w:rsidRPr="008F7E15" w:rsidRDefault="008F7E15" w:rsidP="008F7E15">
      <w:pPr>
        <w:spacing w:after="0" w:line="240" w:lineRule="auto"/>
        <w:jc w:val="both"/>
      </w:pPr>
    </w:p>
    <w:p w14:paraId="3F18B4A3" w14:textId="77777777" w:rsidR="008F7E15" w:rsidRPr="008F7E15" w:rsidRDefault="008F7E15" w:rsidP="008F7E15">
      <w:pPr>
        <w:spacing w:after="0" w:line="240" w:lineRule="auto"/>
        <w:jc w:val="both"/>
      </w:pPr>
    </w:p>
    <w:p w14:paraId="31D6AB21" w14:textId="77777777" w:rsidR="008F7E15" w:rsidRPr="008F7E15" w:rsidRDefault="008F7E15" w:rsidP="008F7E15">
      <w:pPr>
        <w:spacing w:after="0" w:line="240" w:lineRule="auto"/>
        <w:jc w:val="both"/>
        <w:rPr>
          <w:b/>
          <w:bCs/>
        </w:rPr>
      </w:pPr>
      <w:r w:rsidRPr="008F7E15">
        <w:rPr>
          <w:b/>
          <w:bCs/>
        </w:rPr>
        <w:t>Juhatus</w:t>
      </w:r>
    </w:p>
    <w:p w14:paraId="136FE9A2" w14:textId="77777777" w:rsidR="008F7E15" w:rsidRPr="008F7E15" w:rsidRDefault="008F7E15" w:rsidP="008F7E15">
      <w:pPr>
        <w:spacing w:after="0" w:line="240" w:lineRule="auto"/>
        <w:jc w:val="both"/>
        <w:rPr>
          <w:b/>
          <w:bCs/>
        </w:rPr>
      </w:pPr>
    </w:p>
    <w:p w14:paraId="2CD7D314" w14:textId="6299E7FA" w:rsidR="008F7E15" w:rsidRDefault="008F7E15" w:rsidP="008F7E15">
      <w:pPr>
        <w:spacing w:after="0" w:line="240" w:lineRule="auto"/>
        <w:jc w:val="both"/>
        <w:rPr>
          <w:b/>
          <w:bCs/>
        </w:rPr>
      </w:pPr>
      <w:r w:rsidRPr="008F7E15">
        <w:rPr>
          <w:b/>
          <w:bCs/>
        </w:rPr>
        <w:t>O T S U S T A S:</w:t>
      </w:r>
    </w:p>
    <w:p w14:paraId="5756FEE4" w14:textId="77777777" w:rsidR="008F7E15" w:rsidRPr="008F7E15" w:rsidRDefault="008F7E15" w:rsidP="008F7E15">
      <w:pPr>
        <w:spacing w:after="0" w:line="240" w:lineRule="auto"/>
        <w:jc w:val="both"/>
        <w:rPr>
          <w:b/>
          <w:bCs/>
        </w:rPr>
      </w:pPr>
    </w:p>
    <w:p w14:paraId="6EC96E7E" w14:textId="77777777" w:rsidR="008F7E15" w:rsidRPr="008F7E15" w:rsidRDefault="008F7E15" w:rsidP="008F7E15">
      <w:pPr>
        <w:spacing w:after="0" w:line="240" w:lineRule="auto"/>
        <w:jc w:val="both"/>
        <w:rPr>
          <w:b/>
        </w:rPr>
      </w:pPr>
      <w:r w:rsidRPr="008F7E15">
        <w:rPr>
          <w:b/>
        </w:rPr>
        <w:t xml:space="preserve">Edastada info liikmetele. </w:t>
      </w:r>
    </w:p>
    <w:p w14:paraId="40A0DBDF" w14:textId="77777777" w:rsidR="008F7E15" w:rsidRPr="008F7E15" w:rsidRDefault="008F7E15" w:rsidP="008F7E15">
      <w:pPr>
        <w:spacing w:after="0" w:line="240" w:lineRule="auto"/>
        <w:jc w:val="both"/>
      </w:pPr>
    </w:p>
    <w:p w14:paraId="20CE907E" w14:textId="77777777" w:rsidR="008F7E15" w:rsidRDefault="008F7E15" w:rsidP="008F7E15">
      <w:pPr>
        <w:spacing w:after="0" w:line="240" w:lineRule="auto"/>
        <w:jc w:val="both"/>
      </w:pPr>
    </w:p>
    <w:sectPr w:rsidR="008F7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4EA9"/>
    <w:multiLevelType w:val="hybridMultilevel"/>
    <w:tmpl w:val="A636DD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7567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15"/>
    <w:rsid w:val="000A2542"/>
    <w:rsid w:val="002023F6"/>
    <w:rsid w:val="0033385F"/>
    <w:rsid w:val="003D41EB"/>
    <w:rsid w:val="008F7E15"/>
    <w:rsid w:val="00B63717"/>
    <w:rsid w:val="00DF50AB"/>
    <w:rsid w:val="00EC4D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ECC9"/>
  <w15:chartTrackingRefBased/>
  <w15:docId w15:val="{81D1E5C9-E47C-4470-873D-59F3F0D0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15"/>
    <w:rPr>
      <w:rFonts w:ascii="Times New Roman" w:hAnsi="Times New Roman"/>
      <w:kern w:val="0"/>
      <w:sz w:val="24"/>
      <w14:ligatures w14:val="none"/>
    </w:rPr>
  </w:style>
  <w:style w:type="paragraph" w:styleId="Heading1">
    <w:name w:val="heading 1"/>
    <w:basedOn w:val="Normal"/>
    <w:next w:val="Normal"/>
    <w:link w:val="Heading1Char"/>
    <w:uiPriority w:val="9"/>
    <w:qFormat/>
    <w:rsid w:val="008F7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E15"/>
    <w:rPr>
      <w:rFonts w:eastAsiaTheme="majorEastAsia" w:cstheme="majorBidi"/>
      <w:color w:val="272727" w:themeColor="text1" w:themeTint="D8"/>
    </w:rPr>
  </w:style>
  <w:style w:type="paragraph" w:styleId="Title">
    <w:name w:val="Title"/>
    <w:basedOn w:val="Normal"/>
    <w:next w:val="Normal"/>
    <w:link w:val="TitleChar"/>
    <w:uiPriority w:val="10"/>
    <w:qFormat/>
    <w:rsid w:val="008F7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E15"/>
    <w:pPr>
      <w:spacing w:before="160"/>
      <w:jc w:val="center"/>
    </w:pPr>
    <w:rPr>
      <w:i/>
      <w:iCs/>
      <w:color w:val="404040" w:themeColor="text1" w:themeTint="BF"/>
    </w:rPr>
  </w:style>
  <w:style w:type="character" w:customStyle="1" w:styleId="QuoteChar">
    <w:name w:val="Quote Char"/>
    <w:basedOn w:val="DefaultParagraphFont"/>
    <w:link w:val="Quote"/>
    <w:uiPriority w:val="29"/>
    <w:rsid w:val="008F7E15"/>
    <w:rPr>
      <w:i/>
      <w:iCs/>
      <w:color w:val="404040" w:themeColor="text1" w:themeTint="BF"/>
    </w:rPr>
  </w:style>
  <w:style w:type="paragraph" w:styleId="ListParagraph">
    <w:name w:val="List Paragraph"/>
    <w:basedOn w:val="Normal"/>
    <w:uiPriority w:val="34"/>
    <w:qFormat/>
    <w:rsid w:val="008F7E15"/>
    <w:pPr>
      <w:ind w:left="720"/>
      <w:contextualSpacing/>
    </w:pPr>
  </w:style>
  <w:style w:type="character" w:styleId="IntenseEmphasis">
    <w:name w:val="Intense Emphasis"/>
    <w:basedOn w:val="DefaultParagraphFont"/>
    <w:uiPriority w:val="21"/>
    <w:qFormat/>
    <w:rsid w:val="008F7E15"/>
    <w:rPr>
      <w:i/>
      <w:iCs/>
      <w:color w:val="0F4761" w:themeColor="accent1" w:themeShade="BF"/>
    </w:rPr>
  </w:style>
  <w:style w:type="paragraph" w:styleId="IntenseQuote">
    <w:name w:val="Intense Quote"/>
    <w:basedOn w:val="Normal"/>
    <w:next w:val="Normal"/>
    <w:link w:val="IntenseQuoteChar"/>
    <w:uiPriority w:val="30"/>
    <w:qFormat/>
    <w:rsid w:val="008F7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E15"/>
    <w:rPr>
      <w:i/>
      <w:iCs/>
      <w:color w:val="0F4761" w:themeColor="accent1" w:themeShade="BF"/>
    </w:rPr>
  </w:style>
  <w:style w:type="character" w:styleId="IntenseReference">
    <w:name w:val="Intense Reference"/>
    <w:basedOn w:val="DefaultParagraphFont"/>
    <w:uiPriority w:val="32"/>
    <w:qFormat/>
    <w:rsid w:val="008F7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780</Words>
  <Characters>4529</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2</cp:revision>
  <dcterms:created xsi:type="dcterms:W3CDTF">2024-01-15T08:18:00Z</dcterms:created>
  <dcterms:modified xsi:type="dcterms:W3CDTF">2024-12-20T09:33:00Z</dcterms:modified>
</cp:coreProperties>
</file>